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46" w:rsidRPr="003C091C" w:rsidRDefault="00321068" w:rsidP="000B0135">
      <w:pPr>
        <w:ind w:left="-720" w:right="-720"/>
        <w:jc w:val="center"/>
        <w:rPr>
          <w:rFonts w:ascii="Arial Black" w:hAnsi="Arial Black" w:cs="Aharoni"/>
          <w:sz w:val="32"/>
          <w:szCs w:val="32"/>
        </w:rPr>
      </w:pPr>
      <w:r w:rsidRPr="003C091C">
        <w:rPr>
          <w:rFonts w:ascii="Arial Black" w:hAnsi="Arial Black" w:cs="Aharoni"/>
          <w:sz w:val="32"/>
          <w:szCs w:val="32"/>
        </w:rPr>
        <w:t>PROCUREMENT INFORMATION</w:t>
      </w:r>
      <w:r w:rsidR="000B0135" w:rsidRPr="003C091C">
        <w:rPr>
          <w:rFonts w:ascii="Arial Black" w:hAnsi="Arial Black" w:cs="Aharoni"/>
          <w:sz w:val="32"/>
          <w:szCs w:val="32"/>
        </w:rPr>
        <w:t xml:space="preserve"> SHEET</w:t>
      </w:r>
    </w:p>
    <w:p w:rsidR="000B0135" w:rsidRPr="003C091C" w:rsidRDefault="000B0135" w:rsidP="000B0135">
      <w:pPr>
        <w:pStyle w:val="ListParagraph"/>
        <w:numPr>
          <w:ilvl w:val="0"/>
          <w:numId w:val="2"/>
        </w:numPr>
        <w:spacing w:line="240" w:lineRule="auto"/>
        <w:ind w:right="-720"/>
        <w:rPr>
          <w:rFonts w:cs="Aharoni"/>
          <w:b/>
          <w:sz w:val="20"/>
          <w:szCs w:val="20"/>
        </w:rPr>
      </w:pPr>
      <w:r w:rsidRPr="003C091C">
        <w:rPr>
          <w:rFonts w:cs="Aharoni"/>
          <w:b/>
          <w:sz w:val="20"/>
          <w:szCs w:val="20"/>
        </w:rPr>
        <w:t>What is procurement</w:t>
      </w:r>
      <w:r w:rsidR="006102F8">
        <w:rPr>
          <w:rFonts w:cs="Aharoni"/>
          <w:b/>
          <w:sz w:val="20"/>
          <w:szCs w:val="20"/>
        </w:rPr>
        <w:t xml:space="preserve"> and why is it required</w:t>
      </w:r>
      <w:r w:rsidRPr="003C091C">
        <w:rPr>
          <w:rFonts w:cs="Aharoni"/>
          <w:b/>
          <w:sz w:val="20"/>
          <w:szCs w:val="20"/>
        </w:rPr>
        <w:t>?</w:t>
      </w:r>
    </w:p>
    <w:p w:rsidR="000B0135" w:rsidRPr="003C091C" w:rsidRDefault="000B0135" w:rsidP="000B0135">
      <w:pPr>
        <w:spacing w:line="240" w:lineRule="auto"/>
        <w:ind w:left="-720" w:right="-720"/>
        <w:rPr>
          <w:rFonts w:cs="Aharoni"/>
          <w:sz w:val="20"/>
          <w:szCs w:val="20"/>
        </w:rPr>
      </w:pPr>
      <w:r w:rsidRPr="003C091C">
        <w:rPr>
          <w:rFonts w:cs="Aharoni"/>
          <w:sz w:val="20"/>
          <w:szCs w:val="20"/>
        </w:rPr>
        <w:t xml:space="preserve">Procurement is the purchasing of goods and services.  It promotes free and open competition which is essential to ensure the best cost and quality of goods and services.  </w:t>
      </w:r>
      <w:r w:rsidR="00DD1EC5" w:rsidRPr="003C091C">
        <w:rPr>
          <w:rFonts w:cs="Aharoni"/>
          <w:sz w:val="20"/>
          <w:szCs w:val="20"/>
        </w:rPr>
        <w:t xml:space="preserve">Proper </w:t>
      </w:r>
      <w:r w:rsidR="00981A21" w:rsidRPr="003C091C">
        <w:rPr>
          <w:rFonts w:cs="Aharoni"/>
          <w:sz w:val="20"/>
          <w:szCs w:val="20"/>
        </w:rPr>
        <w:t>p</w:t>
      </w:r>
      <w:r w:rsidRPr="003C091C">
        <w:rPr>
          <w:rFonts w:cs="Aharoni"/>
          <w:sz w:val="20"/>
          <w:szCs w:val="20"/>
        </w:rPr>
        <w:t>rocurement avoid</w:t>
      </w:r>
      <w:r w:rsidR="00DD1EC5" w:rsidRPr="003C091C">
        <w:rPr>
          <w:rFonts w:cs="Aharoni"/>
          <w:sz w:val="20"/>
          <w:szCs w:val="20"/>
        </w:rPr>
        <w:t>s</w:t>
      </w:r>
      <w:r w:rsidRPr="003C091C">
        <w:rPr>
          <w:rFonts w:cs="Aharoni"/>
          <w:sz w:val="20"/>
          <w:szCs w:val="20"/>
        </w:rPr>
        <w:t xml:space="preserve"> conflict of interest.</w:t>
      </w:r>
    </w:p>
    <w:p w:rsidR="000B0135" w:rsidRPr="003C091C" w:rsidRDefault="000B0135" w:rsidP="000B0135">
      <w:pPr>
        <w:pStyle w:val="ListParagraph"/>
        <w:numPr>
          <w:ilvl w:val="0"/>
          <w:numId w:val="2"/>
        </w:numPr>
        <w:spacing w:line="240" w:lineRule="auto"/>
        <w:ind w:right="-720"/>
        <w:rPr>
          <w:rFonts w:cs="Aharoni"/>
          <w:b/>
          <w:sz w:val="20"/>
          <w:szCs w:val="20"/>
        </w:rPr>
      </w:pPr>
      <w:r w:rsidRPr="003C091C">
        <w:rPr>
          <w:rFonts w:cs="Aharoni"/>
          <w:b/>
          <w:sz w:val="20"/>
          <w:szCs w:val="20"/>
        </w:rPr>
        <w:t>What is the code of standards of conduct?</w:t>
      </w:r>
    </w:p>
    <w:p w:rsidR="00DD1EC5" w:rsidRPr="003C091C" w:rsidRDefault="00AB5535" w:rsidP="000B0135">
      <w:pPr>
        <w:spacing w:line="240" w:lineRule="auto"/>
        <w:ind w:left="-720" w:right="-720"/>
        <w:rPr>
          <w:rFonts w:cs="Aharoni"/>
          <w:sz w:val="20"/>
          <w:szCs w:val="20"/>
        </w:rPr>
      </w:pPr>
      <w:r w:rsidRPr="003C091C">
        <w:rPr>
          <w:rFonts w:cs="Aharoni"/>
          <w:sz w:val="20"/>
          <w:szCs w:val="20"/>
        </w:rPr>
        <w:t>2 CFR 200.318 (c</w:t>
      </w:r>
      <w:proofErr w:type="gramStart"/>
      <w:r w:rsidRPr="003C091C">
        <w:rPr>
          <w:rFonts w:cs="Aharoni"/>
          <w:sz w:val="20"/>
          <w:szCs w:val="20"/>
        </w:rPr>
        <w:t>)(</w:t>
      </w:r>
      <w:proofErr w:type="gramEnd"/>
      <w:r w:rsidRPr="003C091C">
        <w:rPr>
          <w:rFonts w:cs="Aharoni"/>
          <w:sz w:val="20"/>
          <w:szCs w:val="20"/>
        </w:rPr>
        <w:t xml:space="preserve">1)-SFA must develop and implement a written code of conduct designed to govern the performance of employees engaged in procurement.  </w:t>
      </w:r>
    </w:p>
    <w:p w:rsidR="000B0135" w:rsidRPr="003C091C" w:rsidRDefault="00AB5535" w:rsidP="000B0135">
      <w:pPr>
        <w:spacing w:line="240" w:lineRule="auto"/>
        <w:ind w:left="-720" w:right="-720"/>
        <w:rPr>
          <w:rFonts w:cs="Aharoni"/>
          <w:sz w:val="20"/>
          <w:szCs w:val="20"/>
        </w:rPr>
      </w:pPr>
      <w:r w:rsidRPr="003C091C">
        <w:rPr>
          <w:rFonts w:cs="Aharoni"/>
          <w:sz w:val="20"/>
          <w:szCs w:val="20"/>
        </w:rPr>
        <w:t>Must prohibit employees from soliciting gifts, travel packages, and other incentives from prospective contractors.</w:t>
      </w:r>
    </w:p>
    <w:p w:rsidR="00AB5535" w:rsidRPr="003C091C" w:rsidRDefault="00AB5535" w:rsidP="000B0135">
      <w:pPr>
        <w:spacing w:line="240" w:lineRule="auto"/>
        <w:ind w:left="-720" w:right="-720"/>
        <w:rPr>
          <w:rFonts w:cs="Aharoni"/>
          <w:sz w:val="20"/>
          <w:szCs w:val="20"/>
        </w:rPr>
      </w:pPr>
      <w:r w:rsidRPr="003C091C">
        <w:rPr>
          <w:rFonts w:cs="Aharoni"/>
          <w:sz w:val="20"/>
          <w:szCs w:val="20"/>
        </w:rPr>
        <w:t>Must prohibit an employee from participating in the selection, award, and administration of any contract to which an entity or certain persons connected to them have financial interest.</w:t>
      </w:r>
    </w:p>
    <w:p w:rsidR="00AB5535" w:rsidRPr="003C091C" w:rsidRDefault="00AB5535" w:rsidP="000B0135">
      <w:pPr>
        <w:spacing w:line="240" w:lineRule="auto"/>
        <w:ind w:left="-720" w:right="-720"/>
        <w:rPr>
          <w:rFonts w:cs="Aharoni"/>
          <w:sz w:val="20"/>
          <w:szCs w:val="20"/>
        </w:rPr>
      </w:pPr>
      <w:r w:rsidRPr="003C091C">
        <w:rPr>
          <w:rFonts w:cs="Aharoni"/>
          <w:sz w:val="20"/>
          <w:szCs w:val="20"/>
        </w:rPr>
        <w:t>Must also provide for CNP operators to set standards when financial interest is not substantial or the gift is an unsolicited item of nomina</w:t>
      </w:r>
      <w:r w:rsidR="00273845">
        <w:rPr>
          <w:rFonts w:cs="Aharoni"/>
          <w:sz w:val="20"/>
          <w:szCs w:val="20"/>
        </w:rPr>
        <w:t xml:space="preserve">l value and may be acceptable. </w:t>
      </w:r>
    </w:p>
    <w:p w:rsidR="00AB5535" w:rsidRPr="003C091C" w:rsidRDefault="00AB5535" w:rsidP="000B0135">
      <w:pPr>
        <w:spacing w:line="240" w:lineRule="auto"/>
        <w:ind w:left="-720" w:right="-720"/>
        <w:rPr>
          <w:rFonts w:cs="Aharoni"/>
          <w:sz w:val="20"/>
          <w:szCs w:val="20"/>
        </w:rPr>
      </w:pPr>
      <w:r w:rsidRPr="003C091C">
        <w:rPr>
          <w:rFonts w:cs="Aharoni"/>
          <w:sz w:val="20"/>
          <w:szCs w:val="20"/>
        </w:rPr>
        <w:t>Must provide for disciplinary actions to be applied in the event the standards are violated.</w:t>
      </w:r>
    </w:p>
    <w:p w:rsidR="00AB5535" w:rsidRPr="003C091C" w:rsidRDefault="00AB5535" w:rsidP="00AB5535">
      <w:pPr>
        <w:pStyle w:val="ListParagraph"/>
        <w:numPr>
          <w:ilvl w:val="0"/>
          <w:numId w:val="2"/>
        </w:numPr>
        <w:spacing w:line="240" w:lineRule="auto"/>
        <w:ind w:right="-720"/>
        <w:rPr>
          <w:rFonts w:cs="Aharoni"/>
          <w:b/>
          <w:sz w:val="20"/>
          <w:szCs w:val="20"/>
        </w:rPr>
      </w:pPr>
      <w:r w:rsidRPr="003C091C">
        <w:rPr>
          <w:rFonts w:cs="Aharoni"/>
          <w:b/>
          <w:sz w:val="20"/>
          <w:szCs w:val="20"/>
        </w:rPr>
        <w:t>Where can the procurement regulations be found?</w:t>
      </w:r>
    </w:p>
    <w:p w:rsidR="00AB5535" w:rsidRPr="003C091C" w:rsidRDefault="00FC5EDA" w:rsidP="00AB5535">
      <w:pPr>
        <w:spacing w:line="240" w:lineRule="auto"/>
        <w:ind w:left="-720" w:right="-720"/>
        <w:rPr>
          <w:rFonts w:cs="Aharoni"/>
          <w:sz w:val="20"/>
          <w:szCs w:val="20"/>
        </w:rPr>
      </w:pPr>
      <w:hyperlink r:id="rId8" w:history="1">
        <w:r w:rsidR="00AB5535" w:rsidRPr="003C091C">
          <w:rPr>
            <w:rStyle w:val="Hyperlink"/>
            <w:rFonts w:cs="Aharoni"/>
            <w:sz w:val="20"/>
            <w:szCs w:val="20"/>
          </w:rPr>
          <w:t>www.ecfr.gov</w:t>
        </w:r>
      </w:hyperlink>
      <w:r w:rsidR="00AB5535" w:rsidRPr="003C091C">
        <w:rPr>
          <w:rFonts w:cs="Aharoni"/>
          <w:sz w:val="20"/>
          <w:szCs w:val="20"/>
        </w:rPr>
        <w:t xml:space="preserve"> is the link where you will find 2 CFR Part 200, 7 CFR Part 210 (NSLP), 7 CFR 225 (SFSP)</w:t>
      </w:r>
    </w:p>
    <w:p w:rsidR="00EB699D" w:rsidRPr="003C091C" w:rsidRDefault="00EB699D" w:rsidP="00EB699D">
      <w:pPr>
        <w:pStyle w:val="ListParagraph"/>
        <w:numPr>
          <w:ilvl w:val="0"/>
          <w:numId w:val="2"/>
        </w:numPr>
        <w:spacing w:line="240" w:lineRule="auto"/>
        <w:ind w:right="-720"/>
        <w:rPr>
          <w:rFonts w:cs="Aharoni"/>
          <w:b/>
          <w:sz w:val="20"/>
          <w:szCs w:val="20"/>
        </w:rPr>
      </w:pPr>
      <w:r w:rsidRPr="003C091C">
        <w:rPr>
          <w:rFonts w:cs="Aharoni"/>
          <w:b/>
          <w:sz w:val="20"/>
          <w:szCs w:val="20"/>
        </w:rPr>
        <w:t>What are the methods of procurement?</w:t>
      </w:r>
    </w:p>
    <w:p w:rsidR="00EB699D" w:rsidRPr="00F13446" w:rsidRDefault="00EB699D" w:rsidP="00EB699D">
      <w:pPr>
        <w:spacing w:line="240" w:lineRule="auto"/>
        <w:ind w:left="-720" w:right="-720"/>
        <w:rPr>
          <w:rFonts w:cs="Aharoni"/>
          <w:color w:val="FF0000"/>
          <w:sz w:val="20"/>
          <w:szCs w:val="20"/>
        </w:rPr>
      </w:pPr>
      <w:r w:rsidRPr="003C091C">
        <w:rPr>
          <w:rFonts w:cs="Aharoni"/>
          <w:sz w:val="20"/>
          <w:szCs w:val="20"/>
        </w:rPr>
        <w:t>Informal (less than $150,000</w:t>
      </w:r>
      <w:r w:rsidR="00C46BD2">
        <w:rPr>
          <w:rFonts w:cs="Aharoni"/>
          <w:sz w:val="20"/>
          <w:szCs w:val="20"/>
        </w:rPr>
        <w:t xml:space="preserve"> Indiana</w:t>
      </w:r>
      <w:r w:rsidRPr="003C091C">
        <w:rPr>
          <w:rFonts w:cs="Aharoni"/>
          <w:sz w:val="20"/>
          <w:szCs w:val="20"/>
        </w:rPr>
        <w:t>)</w:t>
      </w:r>
      <w:r w:rsidR="00C46BD2">
        <w:rPr>
          <w:rFonts w:cs="Aharoni"/>
          <w:sz w:val="20"/>
          <w:szCs w:val="20"/>
        </w:rPr>
        <w:t xml:space="preserve"> </w:t>
      </w:r>
      <w:r w:rsidR="00C46BD2" w:rsidRPr="00C46BD2">
        <w:rPr>
          <w:rFonts w:cs="Aharoni"/>
          <w:color w:val="FF0000"/>
          <w:sz w:val="20"/>
          <w:szCs w:val="20"/>
        </w:rPr>
        <w:t>*(less than $250,000 Federal)</w:t>
      </w:r>
      <w:r w:rsidRPr="00C46BD2">
        <w:rPr>
          <w:rFonts w:cs="Aharoni"/>
          <w:color w:val="FF0000"/>
          <w:sz w:val="20"/>
          <w:szCs w:val="20"/>
        </w:rPr>
        <w:t xml:space="preserve"> </w:t>
      </w:r>
      <w:r w:rsidRPr="003C091C">
        <w:rPr>
          <w:rFonts w:cs="Aharoni"/>
          <w:sz w:val="20"/>
          <w:szCs w:val="20"/>
        </w:rPr>
        <w:t>vs Formal (more than $150,000</w:t>
      </w:r>
      <w:r w:rsidR="00C46BD2">
        <w:rPr>
          <w:rFonts w:cs="Aharoni"/>
          <w:sz w:val="20"/>
          <w:szCs w:val="20"/>
        </w:rPr>
        <w:t xml:space="preserve"> Indiana</w:t>
      </w:r>
      <w:r w:rsidR="00DD1EC5" w:rsidRPr="003C091C">
        <w:rPr>
          <w:rFonts w:cs="Aharoni"/>
          <w:sz w:val="20"/>
          <w:szCs w:val="20"/>
        </w:rPr>
        <w:t>)</w:t>
      </w:r>
      <w:r w:rsidR="00C46BD2">
        <w:rPr>
          <w:rFonts w:cs="Aharoni"/>
          <w:sz w:val="20"/>
          <w:szCs w:val="20"/>
        </w:rPr>
        <w:t xml:space="preserve"> </w:t>
      </w:r>
      <w:r w:rsidR="00C46BD2" w:rsidRPr="00C46BD2">
        <w:rPr>
          <w:rFonts w:cs="Aharoni"/>
          <w:color w:val="FF0000"/>
          <w:sz w:val="20"/>
          <w:szCs w:val="20"/>
        </w:rPr>
        <w:t>*(more than $250,000 Federal)</w:t>
      </w:r>
      <w:r w:rsidR="00F13446">
        <w:rPr>
          <w:rFonts w:cs="Aharoni"/>
          <w:color w:val="FF0000"/>
          <w:sz w:val="20"/>
          <w:szCs w:val="20"/>
        </w:rPr>
        <w:t xml:space="preserve"> SFAs must follow the most restrictive which would be the $150,000 for Indiana.</w:t>
      </w:r>
      <w:bookmarkStart w:id="0" w:name="_GoBack"/>
      <w:bookmarkEnd w:id="0"/>
    </w:p>
    <w:p w:rsidR="006A24C6" w:rsidRPr="003C091C" w:rsidRDefault="006A24C6" w:rsidP="006A24C6">
      <w:pPr>
        <w:pStyle w:val="ListParagraph"/>
        <w:numPr>
          <w:ilvl w:val="0"/>
          <w:numId w:val="2"/>
        </w:numPr>
        <w:spacing w:line="240" w:lineRule="auto"/>
        <w:ind w:right="-720"/>
        <w:rPr>
          <w:rFonts w:cs="Aharoni"/>
          <w:b/>
          <w:sz w:val="20"/>
          <w:szCs w:val="20"/>
        </w:rPr>
      </w:pPr>
      <w:r w:rsidRPr="003C091C">
        <w:rPr>
          <w:rFonts w:cs="Aharoni"/>
          <w:b/>
          <w:sz w:val="20"/>
          <w:szCs w:val="20"/>
        </w:rPr>
        <w:t xml:space="preserve"> Under the procurement methods, what are the thresholds and procurement procedures?</w:t>
      </w:r>
    </w:p>
    <w:p w:rsidR="006A24C6" w:rsidRPr="003C091C" w:rsidRDefault="006A24C6" w:rsidP="006A24C6">
      <w:pPr>
        <w:spacing w:after="0" w:line="240" w:lineRule="auto"/>
        <w:ind w:left="-720" w:right="-720"/>
        <w:rPr>
          <w:rFonts w:cs="Aharoni"/>
          <w:sz w:val="20"/>
          <w:szCs w:val="20"/>
        </w:rPr>
      </w:pPr>
      <w:r w:rsidRPr="00A20FFD">
        <w:rPr>
          <w:rFonts w:cs="Aharoni"/>
          <w:b/>
          <w:i/>
          <w:sz w:val="20"/>
          <w:szCs w:val="20"/>
        </w:rPr>
        <w:t>Micro Purchase</w:t>
      </w:r>
      <w:r w:rsidR="00C46BD2">
        <w:rPr>
          <w:rFonts w:cs="Aharoni"/>
          <w:sz w:val="20"/>
          <w:szCs w:val="20"/>
        </w:rPr>
        <w:t xml:space="preserve"> (Under </w:t>
      </w:r>
      <w:r w:rsidR="00C46BD2" w:rsidRPr="00C46BD2">
        <w:rPr>
          <w:rFonts w:cs="Aharoni"/>
          <w:color w:val="FF0000"/>
          <w:sz w:val="20"/>
          <w:szCs w:val="20"/>
        </w:rPr>
        <w:t>*$10,0</w:t>
      </w:r>
      <w:r w:rsidRPr="00C46BD2">
        <w:rPr>
          <w:rFonts w:cs="Aharoni"/>
          <w:color w:val="FF0000"/>
          <w:sz w:val="20"/>
          <w:szCs w:val="20"/>
        </w:rPr>
        <w:t>00</w:t>
      </w:r>
      <w:r w:rsidRPr="003C091C">
        <w:rPr>
          <w:rFonts w:cs="Aharoni"/>
          <w:sz w:val="20"/>
          <w:szCs w:val="20"/>
        </w:rPr>
        <w:t xml:space="preserve">) – Rotate vendors.  You must maintain a list of vendors </w:t>
      </w:r>
      <w:r w:rsidR="00DD1EC5" w:rsidRPr="003C091C">
        <w:rPr>
          <w:rFonts w:cs="Aharoni"/>
          <w:sz w:val="20"/>
          <w:szCs w:val="20"/>
        </w:rPr>
        <w:t>from which you will rotate</w:t>
      </w:r>
      <w:r w:rsidRPr="003C091C">
        <w:rPr>
          <w:rFonts w:cs="Aharoni"/>
          <w:sz w:val="20"/>
          <w:szCs w:val="20"/>
        </w:rPr>
        <w:t xml:space="preserve">.  </w:t>
      </w:r>
    </w:p>
    <w:p w:rsidR="006A24C6" w:rsidRPr="003C091C" w:rsidRDefault="006A24C6" w:rsidP="006A24C6">
      <w:pPr>
        <w:spacing w:after="0" w:line="240" w:lineRule="auto"/>
        <w:ind w:left="-720" w:right="-720"/>
        <w:rPr>
          <w:rFonts w:cs="Aharoni"/>
          <w:sz w:val="20"/>
          <w:szCs w:val="20"/>
        </w:rPr>
      </w:pPr>
      <w:r w:rsidRPr="00A20FFD">
        <w:rPr>
          <w:rFonts w:cs="Aharoni"/>
          <w:b/>
          <w:i/>
          <w:sz w:val="20"/>
          <w:szCs w:val="20"/>
        </w:rPr>
        <w:t>Small Purchase</w:t>
      </w:r>
      <w:r w:rsidR="00C46BD2">
        <w:rPr>
          <w:rFonts w:cs="Aharoni"/>
          <w:sz w:val="20"/>
          <w:szCs w:val="20"/>
        </w:rPr>
        <w:t xml:space="preserve"> (Between </w:t>
      </w:r>
      <w:r w:rsidR="0054342F" w:rsidRPr="0054342F">
        <w:rPr>
          <w:rFonts w:cs="Aharoni"/>
          <w:color w:val="FF0000"/>
          <w:sz w:val="20"/>
          <w:szCs w:val="20"/>
        </w:rPr>
        <w:t>*</w:t>
      </w:r>
      <w:r w:rsidR="00C46BD2" w:rsidRPr="0054342F">
        <w:rPr>
          <w:rFonts w:cs="Aharoni"/>
          <w:color w:val="FF0000"/>
          <w:sz w:val="20"/>
          <w:szCs w:val="20"/>
        </w:rPr>
        <w:t>$10,0</w:t>
      </w:r>
      <w:r w:rsidRPr="0054342F">
        <w:rPr>
          <w:rFonts w:cs="Aharoni"/>
          <w:color w:val="FF0000"/>
          <w:sz w:val="20"/>
          <w:szCs w:val="20"/>
        </w:rPr>
        <w:t xml:space="preserve">00 </w:t>
      </w:r>
      <w:r w:rsidRPr="003C091C">
        <w:rPr>
          <w:rFonts w:cs="Aharoni"/>
          <w:sz w:val="20"/>
          <w:szCs w:val="20"/>
        </w:rPr>
        <w:t>- $</w:t>
      </w:r>
      <w:proofErr w:type="gramStart"/>
      <w:r w:rsidRPr="003C091C">
        <w:rPr>
          <w:rFonts w:cs="Aharoni"/>
          <w:sz w:val="20"/>
          <w:szCs w:val="20"/>
        </w:rPr>
        <w:t>150,000</w:t>
      </w:r>
      <w:r w:rsidR="00C46BD2">
        <w:rPr>
          <w:rFonts w:cs="Aharoni"/>
          <w:sz w:val="20"/>
          <w:szCs w:val="20"/>
        </w:rPr>
        <w:t xml:space="preserve"> )</w:t>
      </w:r>
      <w:proofErr w:type="gramEnd"/>
      <w:r w:rsidR="00C46BD2">
        <w:rPr>
          <w:rFonts w:cs="Aharoni"/>
          <w:sz w:val="20"/>
          <w:szCs w:val="20"/>
        </w:rPr>
        <w:t xml:space="preserve"> </w:t>
      </w:r>
      <w:r w:rsidRPr="003C091C">
        <w:rPr>
          <w:rFonts w:cs="Aharoni"/>
          <w:sz w:val="20"/>
          <w:szCs w:val="20"/>
        </w:rPr>
        <w:t>– Obtain 3 quotes.  Once you obtain the three quotes</w:t>
      </w:r>
      <w:r w:rsidR="002F11B1" w:rsidRPr="003C091C">
        <w:rPr>
          <w:rFonts w:cs="Aharoni"/>
          <w:sz w:val="20"/>
          <w:szCs w:val="20"/>
        </w:rPr>
        <w:t>, you will choose the most cost effective quote.  Price should be the highest determining factor.  You can use other factors such as delivery, location, quality, etc.</w:t>
      </w:r>
    </w:p>
    <w:p w:rsidR="002F11B1" w:rsidRDefault="002F11B1" w:rsidP="006A24C6">
      <w:pPr>
        <w:spacing w:after="0" w:line="240" w:lineRule="auto"/>
        <w:ind w:left="-720" w:right="-720"/>
        <w:rPr>
          <w:rFonts w:cs="Aharoni"/>
          <w:sz w:val="20"/>
          <w:szCs w:val="20"/>
        </w:rPr>
      </w:pPr>
      <w:r w:rsidRPr="00A20FFD">
        <w:rPr>
          <w:rFonts w:cs="Aharoni"/>
          <w:b/>
          <w:i/>
          <w:sz w:val="20"/>
          <w:szCs w:val="20"/>
        </w:rPr>
        <w:t>Large Purchase</w:t>
      </w:r>
      <w:r w:rsidRPr="003C091C">
        <w:rPr>
          <w:rFonts w:cs="Aharoni"/>
          <w:sz w:val="20"/>
          <w:szCs w:val="20"/>
        </w:rPr>
        <w:t xml:space="preserve"> (Over $150,000) – Invitation for Bid (IFB) or Request for Proposal (RFP).  The difference between the IFB vs the RFP is the IFB </w:t>
      </w:r>
      <w:r w:rsidR="00DD1EC5" w:rsidRPr="003C091C">
        <w:rPr>
          <w:rFonts w:cs="Aharoni"/>
          <w:sz w:val="20"/>
          <w:szCs w:val="20"/>
        </w:rPr>
        <w:t xml:space="preserve">is predominantly </w:t>
      </w:r>
      <w:r w:rsidR="00096080" w:rsidRPr="003C091C">
        <w:rPr>
          <w:rFonts w:cs="Aharoni"/>
          <w:sz w:val="20"/>
          <w:szCs w:val="20"/>
        </w:rPr>
        <w:t>award</w:t>
      </w:r>
      <w:r w:rsidR="00DD1EC5" w:rsidRPr="003C091C">
        <w:rPr>
          <w:rFonts w:cs="Aharoni"/>
          <w:sz w:val="20"/>
          <w:szCs w:val="20"/>
        </w:rPr>
        <w:t>ed</w:t>
      </w:r>
      <w:r w:rsidR="00096080" w:rsidRPr="003C091C">
        <w:rPr>
          <w:rFonts w:cs="Aharoni"/>
          <w:sz w:val="20"/>
          <w:szCs w:val="20"/>
        </w:rPr>
        <w:t xml:space="preserve"> only on price.  The RFP may have other scoring criteria, such as delivery, quality, location, etc.  With both IFB and RFP, clear specifications and evaluation criteria should be developed, and they should not be unduly restrictive.  Publicizing the solicitation appropriately to the widest possible audience, and allowing adequate time for the respondent to prepare responsive bid or proposal.</w:t>
      </w:r>
      <w:r w:rsidR="00057C99" w:rsidRPr="003C091C">
        <w:rPr>
          <w:rFonts w:cs="Aharoni"/>
          <w:sz w:val="20"/>
          <w:szCs w:val="20"/>
        </w:rPr>
        <w:t xml:space="preserve">  The state requires</w:t>
      </w:r>
      <w:r w:rsidR="00DD1EC5" w:rsidRPr="003C091C">
        <w:rPr>
          <w:rFonts w:cs="Aharoni"/>
          <w:sz w:val="20"/>
          <w:szCs w:val="20"/>
        </w:rPr>
        <w:t>, at minimum,</w:t>
      </w:r>
      <w:r w:rsidR="00057C99" w:rsidRPr="003C091C">
        <w:rPr>
          <w:rFonts w:cs="Aharoni"/>
          <w:sz w:val="20"/>
          <w:szCs w:val="20"/>
        </w:rPr>
        <w:t xml:space="preserve"> two publication</w:t>
      </w:r>
      <w:r w:rsidR="00DD1EC5" w:rsidRPr="003C091C">
        <w:rPr>
          <w:rFonts w:cs="Aharoni"/>
          <w:sz w:val="20"/>
          <w:szCs w:val="20"/>
        </w:rPr>
        <w:t>s</w:t>
      </w:r>
      <w:r w:rsidR="00057C99" w:rsidRPr="003C091C">
        <w:rPr>
          <w:rFonts w:cs="Aharoni"/>
          <w:sz w:val="20"/>
          <w:szCs w:val="20"/>
        </w:rPr>
        <w:t>, at least one week a part, with the second publication at least 7 days before the bid opening.</w:t>
      </w:r>
    </w:p>
    <w:p w:rsidR="00C46BD2" w:rsidRPr="00C46BD2" w:rsidRDefault="00C46BD2" w:rsidP="006A24C6">
      <w:pPr>
        <w:spacing w:after="0" w:line="240" w:lineRule="auto"/>
        <w:ind w:left="-720" w:right="-720"/>
        <w:rPr>
          <w:rFonts w:cs="Aharoni"/>
          <w:color w:val="FF0000"/>
          <w:sz w:val="16"/>
          <w:szCs w:val="16"/>
        </w:rPr>
      </w:pPr>
      <w:r>
        <w:rPr>
          <w:rFonts w:cs="Aharoni"/>
          <w:b/>
          <w:i/>
          <w:color w:val="FF0000"/>
          <w:sz w:val="16"/>
          <w:szCs w:val="16"/>
        </w:rPr>
        <w:t xml:space="preserve">*Note Federal Thresholds increased June 2018; Micro Purchase $10,000, Informal less than </w:t>
      </w:r>
      <w:r w:rsidR="00EF5D7E">
        <w:rPr>
          <w:rFonts w:cs="Aharoni"/>
          <w:b/>
          <w:i/>
          <w:color w:val="FF0000"/>
          <w:sz w:val="16"/>
          <w:szCs w:val="16"/>
        </w:rPr>
        <w:t>$250,000, Formal more than $250,000.  Indiana threshold has not changed.  Because Indiana threshold is more restrictive for Informal vs Formal, the previous threshold of $150,000 should continue to be followed.</w:t>
      </w:r>
      <w:r w:rsidR="009753E8">
        <w:rPr>
          <w:rFonts w:cs="Aharoni"/>
          <w:b/>
          <w:i/>
          <w:color w:val="FF0000"/>
          <w:sz w:val="16"/>
          <w:szCs w:val="16"/>
        </w:rPr>
        <w:t xml:space="preserve">  Micro purchase threshold has increased to $10,000 and the changes should be implemented.</w:t>
      </w:r>
    </w:p>
    <w:p w:rsidR="00057C99" w:rsidRPr="003C091C" w:rsidRDefault="00057C99" w:rsidP="006A24C6">
      <w:pPr>
        <w:spacing w:after="0" w:line="240" w:lineRule="auto"/>
        <w:ind w:left="-720" w:right="-720"/>
        <w:rPr>
          <w:rFonts w:cs="Aharoni"/>
          <w:sz w:val="20"/>
          <w:szCs w:val="20"/>
        </w:rPr>
      </w:pPr>
    </w:p>
    <w:p w:rsidR="00DD1EC5" w:rsidRPr="003C091C" w:rsidRDefault="00913189" w:rsidP="00DD1EC5">
      <w:pPr>
        <w:pStyle w:val="ListParagraph"/>
        <w:numPr>
          <w:ilvl w:val="0"/>
          <w:numId w:val="2"/>
        </w:numPr>
        <w:spacing w:after="0" w:line="240" w:lineRule="auto"/>
        <w:ind w:right="-720"/>
        <w:rPr>
          <w:rFonts w:cs="Aharoni"/>
          <w:b/>
          <w:sz w:val="20"/>
          <w:szCs w:val="20"/>
        </w:rPr>
      </w:pPr>
      <w:r w:rsidRPr="003C091C">
        <w:rPr>
          <w:rFonts w:cs="Aharoni"/>
          <w:b/>
          <w:sz w:val="20"/>
          <w:szCs w:val="20"/>
        </w:rPr>
        <w:t>Is approval needed to procure equipment?</w:t>
      </w:r>
    </w:p>
    <w:p w:rsidR="00DD1EC5" w:rsidRPr="003C091C" w:rsidRDefault="00DD1EC5" w:rsidP="00DD1EC5">
      <w:pPr>
        <w:pStyle w:val="ListParagraph"/>
        <w:spacing w:after="0" w:line="240" w:lineRule="auto"/>
        <w:ind w:left="-360" w:right="-720"/>
        <w:rPr>
          <w:rFonts w:cs="Aharoni"/>
          <w:b/>
          <w:sz w:val="20"/>
          <w:szCs w:val="20"/>
        </w:rPr>
      </w:pPr>
    </w:p>
    <w:p w:rsidR="003C091C" w:rsidRDefault="00DD1EC5" w:rsidP="007323CC">
      <w:pPr>
        <w:pStyle w:val="ListParagraph"/>
        <w:spacing w:after="0" w:line="240" w:lineRule="auto"/>
        <w:ind w:left="-720" w:right="-720"/>
        <w:rPr>
          <w:rFonts w:cs="Aharoni"/>
          <w:sz w:val="20"/>
          <w:szCs w:val="20"/>
        </w:rPr>
      </w:pPr>
      <w:r w:rsidRPr="003C091C">
        <w:rPr>
          <w:rFonts w:cs="Aharoni"/>
          <w:sz w:val="20"/>
          <w:szCs w:val="20"/>
        </w:rPr>
        <w:t>B</w:t>
      </w:r>
      <w:r w:rsidR="00913189" w:rsidRPr="003C091C">
        <w:rPr>
          <w:rFonts w:cs="Aharoni"/>
          <w:sz w:val="20"/>
          <w:szCs w:val="20"/>
        </w:rPr>
        <w:t>efore procuring equipment over $5,000, approval is needed from a finance team member.</w:t>
      </w:r>
      <w:r w:rsidRPr="003C091C">
        <w:rPr>
          <w:rFonts w:cs="Aharoni"/>
          <w:sz w:val="20"/>
          <w:szCs w:val="20"/>
        </w:rPr>
        <w:t xml:space="preserve"> This request can be made by emailing members of the IDOE Child Nutrition Finance Team with the details and request. One of the team will respond with an approval or additional questions.</w:t>
      </w:r>
    </w:p>
    <w:p w:rsidR="00913189" w:rsidRPr="003C091C" w:rsidRDefault="00DD1EC5" w:rsidP="007323CC">
      <w:pPr>
        <w:pStyle w:val="ListParagraph"/>
        <w:spacing w:after="0" w:line="240" w:lineRule="auto"/>
        <w:ind w:left="-720" w:right="-720"/>
        <w:rPr>
          <w:rFonts w:cs="Aharoni"/>
          <w:b/>
          <w:sz w:val="20"/>
          <w:szCs w:val="20"/>
        </w:rPr>
      </w:pPr>
      <w:r w:rsidRPr="003C091C">
        <w:rPr>
          <w:rFonts w:cs="Aharoni"/>
          <w:sz w:val="20"/>
          <w:szCs w:val="20"/>
        </w:rPr>
        <w:tab/>
      </w:r>
    </w:p>
    <w:p w:rsidR="00057C99" w:rsidRPr="003C091C" w:rsidRDefault="00057C99" w:rsidP="00057C99">
      <w:pPr>
        <w:pStyle w:val="ListParagraph"/>
        <w:numPr>
          <w:ilvl w:val="0"/>
          <w:numId w:val="2"/>
        </w:numPr>
        <w:spacing w:after="0" w:line="240" w:lineRule="auto"/>
        <w:ind w:right="-720"/>
        <w:rPr>
          <w:rFonts w:cs="Aharoni"/>
          <w:b/>
          <w:sz w:val="20"/>
          <w:szCs w:val="20"/>
        </w:rPr>
      </w:pPr>
      <w:r w:rsidRPr="003C091C">
        <w:rPr>
          <w:rFonts w:cs="Aharoni"/>
          <w:b/>
          <w:sz w:val="20"/>
          <w:szCs w:val="20"/>
        </w:rPr>
        <w:t xml:space="preserve"> What are the sponsor requirements when there is a </w:t>
      </w:r>
      <w:r w:rsidR="005B0C83" w:rsidRPr="003C091C">
        <w:rPr>
          <w:rFonts w:cs="Aharoni"/>
          <w:b/>
          <w:sz w:val="20"/>
          <w:szCs w:val="20"/>
        </w:rPr>
        <w:t>Food Service Management Company (</w:t>
      </w:r>
      <w:r w:rsidRPr="003C091C">
        <w:rPr>
          <w:rFonts w:cs="Aharoni"/>
          <w:b/>
          <w:sz w:val="20"/>
          <w:szCs w:val="20"/>
        </w:rPr>
        <w:t>FSMC</w:t>
      </w:r>
      <w:r w:rsidR="005B0C83" w:rsidRPr="003C091C">
        <w:rPr>
          <w:rFonts w:cs="Aharoni"/>
          <w:b/>
          <w:sz w:val="20"/>
          <w:szCs w:val="20"/>
        </w:rPr>
        <w:t>)</w:t>
      </w:r>
      <w:r w:rsidRPr="003C091C">
        <w:rPr>
          <w:rFonts w:cs="Aharoni"/>
          <w:b/>
          <w:sz w:val="20"/>
          <w:szCs w:val="20"/>
        </w:rPr>
        <w:t>?</w:t>
      </w:r>
    </w:p>
    <w:p w:rsidR="00057C99" w:rsidRPr="003C091C" w:rsidRDefault="00057C99" w:rsidP="00057C99">
      <w:pPr>
        <w:spacing w:after="0" w:line="240" w:lineRule="auto"/>
        <w:ind w:left="-720" w:right="-720"/>
        <w:rPr>
          <w:rFonts w:cs="Aharoni"/>
          <w:b/>
          <w:sz w:val="20"/>
          <w:szCs w:val="20"/>
        </w:rPr>
      </w:pPr>
    </w:p>
    <w:p w:rsidR="00405FB6" w:rsidRDefault="00057C99" w:rsidP="00057C99">
      <w:pPr>
        <w:spacing w:after="0" w:line="240" w:lineRule="auto"/>
        <w:ind w:left="-720" w:right="-720"/>
        <w:rPr>
          <w:rFonts w:cs="Aharoni"/>
          <w:sz w:val="20"/>
          <w:szCs w:val="20"/>
        </w:rPr>
      </w:pPr>
      <w:r w:rsidRPr="003C091C">
        <w:rPr>
          <w:rFonts w:cs="Aharoni"/>
          <w:sz w:val="20"/>
          <w:szCs w:val="20"/>
        </w:rPr>
        <w:t>The SFA must establish an advisory board composed of parents, teachers, and students to assist in menu planning.  The SFA must monitor the FSMC through periodic on-site monitoring.  The SFA</w:t>
      </w:r>
      <w:r w:rsidR="005B0C83" w:rsidRPr="003C091C">
        <w:rPr>
          <w:rFonts w:cs="Aharoni"/>
          <w:sz w:val="20"/>
          <w:szCs w:val="20"/>
        </w:rPr>
        <w:t xml:space="preserve"> will need to assure that the FSMC complied with all health inspection regulations as required under the terms of the contract with the FSMC.  If there were discounts, rebates, and credits for </w:t>
      </w:r>
      <w:r w:rsidR="005B0C83" w:rsidRPr="003C091C">
        <w:rPr>
          <w:rFonts w:cs="Aharoni"/>
          <w:sz w:val="20"/>
          <w:szCs w:val="20"/>
        </w:rPr>
        <w:lastRenderedPageBreak/>
        <w:t xml:space="preserve">commercial food and supplies purchased, </w:t>
      </w:r>
      <w:r w:rsidR="002C4463" w:rsidRPr="003C091C">
        <w:rPr>
          <w:rFonts w:cs="Aharoni"/>
          <w:sz w:val="20"/>
          <w:szCs w:val="20"/>
        </w:rPr>
        <w:t xml:space="preserve">or if there is a guaranteed return to the SFA from the FSMC, </w:t>
      </w:r>
      <w:r w:rsidR="005B0C83" w:rsidRPr="003C091C">
        <w:rPr>
          <w:rFonts w:cs="Aharoni"/>
          <w:sz w:val="20"/>
          <w:szCs w:val="20"/>
        </w:rPr>
        <w:t xml:space="preserve">those funds must go back to </w:t>
      </w:r>
      <w:r w:rsidR="002C4463" w:rsidRPr="003C091C">
        <w:rPr>
          <w:rFonts w:cs="Aharoni"/>
          <w:sz w:val="20"/>
          <w:szCs w:val="20"/>
        </w:rPr>
        <w:t>Non-Profit School Foodservice Account to be used for the school nutrition program only</w:t>
      </w:r>
      <w:r w:rsidR="005B0C83" w:rsidRPr="003C091C">
        <w:rPr>
          <w:rFonts w:cs="Aharoni"/>
          <w:sz w:val="20"/>
          <w:szCs w:val="20"/>
        </w:rPr>
        <w:t xml:space="preserve">.  The SFA should conduct a reconciliation at </w:t>
      </w:r>
    </w:p>
    <w:p w:rsidR="00405FB6" w:rsidRDefault="00405FB6" w:rsidP="00057C99">
      <w:pPr>
        <w:spacing w:after="0" w:line="240" w:lineRule="auto"/>
        <w:ind w:left="-720" w:right="-720"/>
        <w:rPr>
          <w:rFonts w:cs="Aharoni"/>
          <w:sz w:val="20"/>
          <w:szCs w:val="20"/>
        </w:rPr>
      </w:pPr>
    </w:p>
    <w:p w:rsidR="00057C99" w:rsidRPr="003C091C" w:rsidRDefault="005B0C83" w:rsidP="00057C99">
      <w:pPr>
        <w:spacing w:after="0" w:line="240" w:lineRule="auto"/>
        <w:ind w:left="-720" w:right="-720"/>
        <w:rPr>
          <w:rFonts w:cs="Aharoni"/>
          <w:sz w:val="20"/>
          <w:szCs w:val="20"/>
        </w:rPr>
      </w:pPr>
      <w:r w:rsidRPr="003C091C">
        <w:rPr>
          <w:rFonts w:cs="Aharoni"/>
          <w:sz w:val="20"/>
          <w:szCs w:val="20"/>
        </w:rPr>
        <w:t xml:space="preserve">least annually and at contract termination to ensure the FSMC has </w:t>
      </w:r>
      <w:r w:rsidR="004E5333" w:rsidRPr="003C091C">
        <w:rPr>
          <w:rFonts w:cs="Aharoni"/>
          <w:sz w:val="20"/>
          <w:szCs w:val="20"/>
        </w:rPr>
        <w:t>properly charged costs to the SFA, especially in a cost reimbursable contract (the SFA should be charged the cost for food, including any discounts, charged the FSMC)</w:t>
      </w:r>
      <w:r w:rsidRPr="003C091C">
        <w:rPr>
          <w:rFonts w:cs="Aharoni"/>
          <w:sz w:val="20"/>
          <w:szCs w:val="20"/>
        </w:rPr>
        <w:t>.  The SFA must ensure they receive the full value of USDA Foods from the FSMC.</w:t>
      </w:r>
    </w:p>
    <w:p w:rsidR="00DD1EC5" w:rsidRPr="003C091C" w:rsidRDefault="00DD1EC5" w:rsidP="007323CC">
      <w:pPr>
        <w:pStyle w:val="ListParagraph"/>
        <w:spacing w:after="0" w:line="240" w:lineRule="auto"/>
        <w:ind w:left="-360" w:right="-720"/>
        <w:rPr>
          <w:rFonts w:cs="Aharoni"/>
          <w:b/>
          <w:sz w:val="20"/>
          <w:szCs w:val="20"/>
        </w:rPr>
      </w:pPr>
    </w:p>
    <w:p w:rsidR="004339D0" w:rsidRPr="003C091C" w:rsidRDefault="004339D0" w:rsidP="004339D0">
      <w:pPr>
        <w:pStyle w:val="ListParagraph"/>
        <w:numPr>
          <w:ilvl w:val="0"/>
          <w:numId w:val="2"/>
        </w:numPr>
        <w:spacing w:after="0" w:line="240" w:lineRule="auto"/>
        <w:ind w:right="-720"/>
        <w:rPr>
          <w:rFonts w:cs="Aharoni"/>
          <w:b/>
          <w:sz w:val="20"/>
          <w:szCs w:val="20"/>
        </w:rPr>
      </w:pPr>
      <w:r w:rsidRPr="003C091C">
        <w:rPr>
          <w:rFonts w:cs="Aharoni"/>
          <w:b/>
          <w:sz w:val="20"/>
          <w:szCs w:val="20"/>
        </w:rPr>
        <w:t xml:space="preserve">What is </w:t>
      </w:r>
      <w:r w:rsidR="00C86796" w:rsidRPr="003C091C">
        <w:rPr>
          <w:rFonts w:cs="Aharoni"/>
          <w:b/>
          <w:sz w:val="20"/>
          <w:szCs w:val="20"/>
        </w:rPr>
        <w:t>cooperative p</w:t>
      </w:r>
      <w:r w:rsidRPr="003C091C">
        <w:rPr>
          <w:rFonts w:cs="Aharoni"/>
          <w:b/>
          <w:sz w:val="20"/>
          <w:szCs w:val="20"/>
        </w:rPr>
        <w:t>urchasing</w:t>
      </w:r>
      <w:r w:rsidR="00C86796" w:rsidRPr="003C091C">
        <w:rPr>
          <w:rFonts w:cs="Aharoni"/>
          <w:b/>
          <w:sz w:val="20"/>
          <w:szCs w:val="20"/>
        </w:rPr>
        <w:t xml:space="preserve"> group</w:t>
      </w:r>
      <w:r w:rsidRPr="003C091C">
        <w:rPr>
          <w:rFonts w:cs="Aharoni"/>
          <w:b/>
          <w:sz w:val="20"/>
          <w:szCs w:val="20"/>
        </w:rPr>
        <w:t xml:space="preserve"> (Co-op) and how are they formed?</w:t>
      </w:r>
    </w:p>
    <w:p w:rsidR="004339D0" w:rsidRPr="003C091C" w:rsidRDefault="004339D0" w:rsidP="004339D0">
      <w:pPr>
        <w:spacing w:after="0" w:line="240" w:lineRule="auto"/>
        <w:ind w:left="-720" w:right="-720"/>
        <w:rPr>
          <w:rFonts w:cs="Aharoni"/>
          <w:b/>
          <w:sz w:val="20"/>
          <w:szCs w:val="20"/>
        </w:rPr>
      </w:pPr>
    </w:p>
    <w:p w:rsidR="002C4463" w:rsidRPr="003C091C" w:rsidRDefault="004339D0" w:rsidP="004339D0">
      <w:pPr>
        <w:spacing w:after="0" w:line="240" w:lineRule="auto"/>
        <w:ind w:left="-720" w:right="-720"/>
        <w:rPr>
          <w:rFonts w:cs="Aharoni"/>
          <w:sz w:val="20"/>
          <w:szCs w:val="20"/>
        </w:rPr>
      </w:pPr>
      <w:r w:rsidRPr="003C091C">
        <w:rPr>
          <w:rFonts w:cs="Aharoni"/>
          <w:sz w:val="20"/>
          <w:szCs w:val="20"/>
        </w:rPr>
        <w:t>A co-op is a group of people or entities joining together to accomplish all or part of the steps in the purchase process.  A co-op will use collective buying power to obtain highest quality products at the best price.</w:t>
      </w:r>
      <w:r w:rsidR="00C86796" w:rsidRPr="003C091C">
        <w:rPr>
          <w:rFonts w:cs="Aharoni"/>
          <w:sz w:val="20"/>
          <w:szCs w:val="20"/>
        </w:rPr>
        <w:t xml:space="preserve">  </w:t>
      </w:r>
      <w:r w:rsidR="001B3C8B">
        <w:rPr>
          <w:rFonts w:cs="Aharoni"/>
          <w:sz w:val="20"/>
          <w:szCs w:val="20"/>
        </w:rPr>
        <w:t>A group of schools banding</w:t>
      </w:r>
      <w:r w:rsidR="002C4463" w:rsidRPr="003C091C">
        <w:rPr>
          <w:rFonts w:cs="Aharoni"/>
          <w:sz w:val="20"/>
          <w:szCs w:val="20"/>
        </w:rPr>
        <w:t xml:space="preserve"> together to enter into contracts for the purchase of goods or services would be considered a co-op if all members of the co-op are schools only and the procurement process is completed for this memb</w:t>
      </w:r>
      <w:r w:rsidR="00DA382D" w:rsidRPr="003C091C">
        <w:rPr>
          <w:rFonts w:cs="Aharoni"/>
          <w:sz w:val="20"/>
          <w:szCs w:val="20"/>
        </w:rPr>
        <w:t xml:space="preserve">er schools alone. </w:t>
      </w:r>
      <w:r w:rsidR="00DA382D" w:rsidRPr="003C091C">
        <w:rPr>
          <w:rFonts w:cs="Aharoni"/>
          <w:b/>
          <w:sz w:val="20"/>
          <w:szCs w:val="20"/>
        </w:rPr>
        <w:t xml:space="preserve">This means a SFA wanting to join </w:t>
      </w:r>
      <w:r w:rsidR="002C4463" w:rsidRPr="003C091C">
        <w:rPr>
          <w:rFonts w:cs="Aharoni"/>
          <w:b/>
          <w:sz w:val="20"/>
          <w:szCs w:val="20"/>
        </w:rPr>
        <w:t>a group that has already procured a contract in which that school was not included, would need to wait to join during the procurement of the next contract. Joining a contract already in place could be considered a material change and is not allowable.</w:t>
      </w:r>
    </w:p>
    <w:p w:rsidR="002C4463" w:rsidRPr="003C091C" w:rsidRDefault="002C4463" w:rsidP="004339D0">
      <w:pPr>
        <w:spacing w:after="0" w:line="240" w:lineRule="auto"/>
        <w:ind w:left="-720" w:right="-720"/>
        <w:rPr>
          <w:rFonts w:cs="Aharoni"/>
          <w:sz w:val="20"/>
          <w:szCs w:val="20"/>
        </w:rPr>
      </w:pPr>
    </w:p>
    <w:p w:rsidR="002C4463" w:rsidRPr="003C091C" w:rsidRDefault="00C41843" w:rsidP="002C4463">
      <w:pPr>
        <w:spacing w:after="0" w:line="240" w:lineRule="auto"/>
        <w:ind w:left="-720" w:right="-720"/>
        <w:rPr>
          <w:rFonts w:cs="Aharoni"/>
          <w:sz w:val="20"/>
          <w:szCs w:val="20"/>
        </w:rPr>
      </w:pPr>
      <w:r>
        <w:rPr>
          <w:rFonts w:cs="Aharoni"/>
          <w:sz w:val="20"/>
          <w:szCs w:val="20"/>
        </w:rPr>
        <w:t>A co-op under the School Nutrition Program (SNP)</w:t>
      </w:r>
      <w:r w:rsidR="00C86796" w:rsidRPr="003C091C">
        <w:rPr>
          <w:rFonts w:cs="Aharoni"/>
          <w:sz w:val="20"/>
          <w:szCs w:val="20"/>
        </w:rPr>
        <w:t xml:space="preserve"> </w:t>
      </w:r>
      <w:r w:rsidR="002C4463" w:rsidRPr="003C091C">
        <w:rPr>
          <w:rFonts w:cs="Aharoni"/>
          <w:sz w:val="20"/>
          <w:szCs w:val="20"/>
        </w:rPr>
        <w:t xml:space="preserve">must </w:t>
      </w:r>
      <w:r w:rsidR="00C86796" w:rsidRPr="003C091C">
        <w:rPr>
          <w:rFonts w:cs="Aharoni"/>
          <w:sz w:val="20"/>
          <w:szCs w:val="20"/>
        </w:rPr>
        <w:t>follow federal, state, and local rules, regulations, and policies governing procurement.  When joining a co-op it is important to find a co-op that can satisfy unique needs, such as special products, storage capacity, and additional equipment.  Delivery schedules, product offerings, and local regulations should be considered.  As a member of a co-op there are responsibilities which includes participating on committees, attending meetings, and purchasing within agreement guidelines.</w:t>
      </w:r>
      <w:r w:rsidR="00DA382D" w:rsidRPr="003C091C">
        <w:rPr>
          <w:rFonts w:cs="Aharoni"/>
          <w:sz w:val="20"/>
          <w:szCs w:val="20"/>
        </w:rPr>
        <w:t xml:space="preserve"> The Regional Education Service Centers (ESC) can be considered a co-op if you are participating in the group in your region and are members of that ESC. If another ESC (outside of your region) is asking you to join their contract you would have to procure the service like any other vendor and they can respond to your RFP or send a quote.</w:t>
      </w:r>
    </w:p>
    <w:p w:rsidR="00005338" w:rsidRPr="003C091C" w:rsidRDefault="00005338" w:rsidP="004339D0">
      <w:pPr>
        <w:spacing w:after="0" w:line="240" w:lineRule="auto"/>
        <w:ind w:left="-720" w:right="-720"/>
        <w:rPr>
          <w:rFonts w:cs="Aharoni"/>
          <w:sz w:val="20"/>
          <w:szCs w:val="20"/>
        </w:rPr>
      </w:pPr>
    </w:p>
    <w:p w:rsidR="002C4463" w:rsidRPr="003C091C" w:rsidRDefault="002C4463" w:rsidP="00005338">
      <w:pPr>
        <w:pStyle w:val="ListParagraph"/>
        <w:numPr>
          <w:ilvl w:val="0"/>
          <w:numId w:val="2"/>
        </w:numPr>
        <w:spacing w:after="0" w:line="240" w:lineRule="auto"/>
        <w:ind w:right="-720"/>
        <w:rPr>
          <w:rFonts w:cs="Aharoni"/>
          <w:b/>
          <w:sz w:val="20"/>
          <w:szCs w:val="20"/>
        </w:rPr>
      </w:pPr>
      <w:r w:rsidRPr="003C091C">
        <w:rPr>
          <w:rFonts w:cs="Aharoni"/>
          <w:b/>
          <w:sz w:val="20"/>
          <w:szCs w:val="20"/>
        </w:rPr>
        <w:t>What is a Third Party Purchasing Organization?</w:t>
      </w:r>
    </w:p>
    <w:p w:rsidR="002C4463" w:rsidRPr="003C091C" w:rsidRDefault="002C4463" w:rsidP="007323CC">
      <w:pPr>
        <w:pStyle w:val="ListParagraph"/>
        <w:spacing w:after="0" w:line="240" w:lineRule="auto"/>
        <w:ind w:left="-360" w:right="-720"/>
        <w:rPr>
          <w:rFonts w:cs="Aharoni"/>
          <w:b/>
          <w:sz w:val="20"/>
          <w:szCs w:val="20"/>
        </w:rPr>
      </w:pPr>
    </w:p>
    <w:p w:rsidR="008F33B9" w:rsidRPr="003C091C" w:rsidRDefault="008F33B9" w:rsidP="007323CC">
      <w:pPr>
        <w:pStyle w:val="ListParagraph"/>
        <w:spacing w:after="0" w:line="240" w:lineRule="auto"/>
        <w:ind w:left="-720" w:right="-720"/>
        <w:rPr>
          <w:rFonts w:cs="Aharoni"/>
          <w:sz w:val="20"/>
          <w:szCs w:val="20"/>
        </w:rPr>
      </w:pPr>
      <w:r w:rsidRPr="003C091C">
        <w:rPr>
          <w:rFonts w:cs="Aharoni"/>
          <w:sz w:val="20"/>
          <w:szCs w:val="20"/>
        </w:rPr>
        <w:t xml:space="preserve">A Third Party Purchasing organization (or Group Purchasing Organization – GPO) </w:t>
      </w:r>
      <w:r w:rsidR="00FB4187" w:rsidRPr="003C091C">
        <w:rPr>
          <w:rFonts w:cs="Aharoni"/>
          <w:sz w:val="20"/>
          <w:szCs w:val="20"/>
        </w:rPr>
        <w:t>is</w:t>
      </w:r>
      <w:r w:rsidR="00A73EAB" w:rsidRPr="003C091C">
        <w:rPr>
          <w:rFonts w:cs="Aharoni"/>
          <w:sz w:val="20"/>
          <w:szCs w:val="20"/>
        </w:rPr>
        <w:t xml:space="preserve"> an external entity that facilitate procuring products and service for members/member agencies from external sources such as an affiliated or unaffiliated full-line distributor.  Membership involves paying a fee in addition to the price of products and services purchase.  It should be noted that paying a fee does not constitute compliance with the competitive procurement process that sponsors are required to conduct when procuring products and services.</w:t>
      </w:r>
      <w:r w:rsidR="00DA382D" w:rsidRPr="003C091C">
        <w:rPr>
          <w:rFonts w:cs="Aharoni"/>
          <w:sz w:val="20"/>
          <w:szCs w:val="20"/>
        </w:rPr>
        <w:t xml:space="preserve"> When procuring and comparing prices, make sure to include any fees as part of the total evaluation.</w:t>
      </w:r>
    </w:p>
    <w:p w:rsidR="008F33B9" w:rsidRPr="003C091C" w:rsidRDefault="008F33B9" w:rsidP="007323CC">
      <w:pPr>
        <w:pStyle w:val="ListParagraph"/>
        <w:spacing w:after="0" w:line="240" w:lineRule="auto"/>
        <w:ind w:left="-720" w:right="-720"/>
        <w:rPr>
          <w:rFonts w:cs="Aharoni"/>
          <w:b/>
          <w:sz w:val="20"/>
          <w:szCs w:val="20"/>
        </w:rPr>
      </w:pPr>
    </w:p>
    <w:p w:rsidR="00005338" w:rsidRDefault="00005338" w:rsidP="00005338">
      <w:pPr>
        <w:pStyle w:val="ListParagraph"/>
        <w:numPr>
          <w:ilvl w:val="0"/>
          <w:numId w:val="2"/>
        </w:numPr>
        <w:spacing w:after="0" w:line="240" w:lineRule="auto"/>
        <w:ind w:right="-720"/>
        <w:rPr>
          <w:rFonts w:cs="Aharoni"/>
          <w:b/>
          <w:sz w:val="20"/>
          <w:szCs w:val="20"/>
        </w:rPr>
      </w:pPr>
      <w:r w:rsidRPr="003C091C">
        <w:rPr>
          <w:rFonts w:cs="Aharoni"/>
          <w:b/>
          <w:sz w:val="20"/>
          <w:szCs w:val="20"/>
        </w:rPr>
        <w:t>What are the deadlines for finance documents?</w:t>
      </w:r>
    </w:p>
    <w:p w:rsidR="003D2856" w:rsidRPr="003C091C" w:rsidRDefault="003D2856" w:rsidP="003D2856">
      <w:pPr>
        <w:pStyle w:val="ListParagraph"/>
        <w:spacing w:after="0" w:line="240" w:lineRule="auto"/>
        <w:ind w:left="-360" w:right="-720"/>
        <w:rPr>
          <w:rFonts w:cs="Aharoni"/>
          <w:b/>
          <w:sz w:val="20"/>
          <w:szCs w:val="20"/>
        </w:rPr>
      </w:pPr>
    </w:p>
    <w:p w:rsidR="003C091C" w:rsidRPr="003C091C" w:rsidRDefault="003C091C" w:rsidP="003C091C">
      <w:pPr>
        <w:pStyle w:val="ListParagraph"/>
        <w:spacing w:after="0" w:line="240" w:lineRule="auto"/>
        <w:ind w:left="-360" w:right="-720"/>
        <w:rPr>
          <w:rFonts w:cs="Aharoni"/>
          <w:sz w:val="20"/>
          <w:szCs w:val="20"/>
        </w:rPr>
      </w:pPr>
      <w:r w:rsidRPr="003C091C">
        <w:rPr>
          <w:rFonts w:cs="Aharoni"/>
          <w:sz w:val="20"/>
          <w:szCs w:val="20"/>
        </w:rPr>
        <w:t>FSMC Monitor Review Sheet</w:t>
      </w:r>
      <w:r w:rsidRPr="003C091C">
        <w:rPr>
          <w:rFonts w:cs="Aharoni"/>
          <w:sz w:val="20"/>
          <w:szCs w:val="20"/>
        </w:rPr>
        <w:tab/>
      </w:r>
      <w:r w:rsidRPr="003C091C">
        <w:rPr>
          <w:rFonts w:cs="Aharoni"/>
          <w:sz w:val="20"/>
          <w:szCs w:val="20"/>
        </w:rPr>
        <w:tab/>
        <w:t>April 30</w:t>
      </w:r>
    </w:p>
    <w:p w:rsidR="003C091C" w:rsidRPr="003C091C" w:rsidRDefault="003C091C" w:rsidP="003C091C">
      <w:pPr>
        <w:pStyle w:val="ListParagraph"/>
        <w:spacing w:after="0" w:line="240" w:lineRule="auto"/>
        <w:ind w:left="-360" w:right="-720"/>
        <w:rPr>
          <w:rFonts w:cs="Aharoni"/>
          <w:sz w:val="20"/>
          <w:szCs w:val="20"/>
        </w:rPr>
      </w:pPr>
      <w:r w:rsidRPr="003C091C">
        <w:rPr>
          <w:rFonts w:cs="Aharoni"/>
          <w:sz w:val="20"/>
          <w:szCs w:val="20"/>
        </w:rPr>
        <w:t>FSMC New Contract RFP</w:t>
      </w:r>
      <w:r w:rsidRPr="003C091C">
        <w:rPr>
          <w:rFonts w:cs="Aharoni"/>
          <w:sz w:val="20"/>
          <w:szCs w:val="20"/>
        </w:rPr>
        <w:tab/>
      </w:r>
      <w:r w:rsidRPr="003C091C">
        <w:rPr>
          <w:rFonts w:cs="Aharoni"/>
          <w:sz w:val="20"/>
          <w:szCs w:val="20"/>
        </w:rPr>
        <w:tab/>
        <w:t>March 31</w:t>
      </w:r>
    </w:p>
    <w:p w:rsidR="003C091C" w:rsidRPr="003C091C" w:rsidRDefault="005D5143" w:rsidP="003C091C">
      <w:pPr>
        <w:pStyle w:val="ListParagraph"/>
        <w:spacing w:after="0" w:line="240" w:lineRule="auto"/>
        <w:ind w:left="-360" w:right="-720"/>
        <w:rPr>
          <w:rFonts w:cs="Aharoni"/>
          <w:sz w:val="20"/>
          <w:szCs w:val="20"/>
        </w:rPr>
      </w:pPr>
      <w:r>
        <w:rPr>
          <w:rFonts w:cs="Aharoni"/>
          <w:sz w:val="20"/>
          <w:szCs w:val="20"/>
        </w:rPr>
        <w:t>F</w:t>
      </w:r>
      <w:r w:rsidR="003C091C" w:rsidRPr="003C091C">
        <w:rPr>
          <w:rFonts w:cs="Aharoni"/>
          <w:sz w:val="20"/>
          <w:szCs w:val="20"/>
        </w:rPr>
        <w:t>SMC Renewals (Unsigned)</w:t>
      </w:r>
      <w:r w:rsidR="003C091C" w:rsidRPr="003C091C">
        <w:rPr>
          <w:rFonts w:cs="Aharoni"/>
          <w:sz w:val="20"/>
          <w:szCs w:val="20"/>
        </w:rPr>
        <w:tab/>
      </w:r>
      <w:r w:rsidR="003C091C" w:rsidRPr="003C091C">
        <w:rPr>
          <w:rFonts w:cs="Aharoni"/>
          <w:sz w:val="20"/>
          <w:szCs w:val="20"/>
        </w:rPr>
        <w:tab/>
        <w:t>May 30</w:t>
      </w:r>
    </w:p>
    <w:p w:rsidR="003C091C" w:rsidRPr="003C091C" w:rsidRDefault="003C091C" w:rsidP="003C091C">
      <w:pPr>
        <w:pStyle w:val="ListParagraph"/>
        <w:spacing w:after="0" w:line="240" w:lineRule="auto"/>
        <w:ind w:left="-360" w:right="-720"/>
        <w:rPr>
          <w:rFonts w:cs="Aharoni"/>
          <w:sz w:val="20"/>
          <w:szCs w:val="20"/>
        </w:rPr>
      </w:pPr>
      <w:r w:rsidRPr="003C091C">
        <w:rPr>
          <w:rFonts w:cs="Aharoni"/>
          <w:sz w:val="20"/>
          <w:szCs w:val="20"/>
        </w:rPr>
        <w:t>FSMC Renewals (Signed)</w:t>
      </w:r>
      <w:r w:rsidRPr="003C091C">
        <w:rPr>
          <w:rFonts w:cs="Aharoni"/>
          <w:sz w:val="20"/>
          <w:szCs w:val="20"/>
        </w:rPr>
        <w:tab/>
      </w:r>
      <w:r w:rsidRPr="003C091C">
        <w:rPr>
          <w:rFonts w:cs="Aharoni"/>
          <w:sz w:val="20"/>
          <w:szCs w:val="20"/>
        </w:rPr>
        <w:tab/>
        <w:t>June 30</w:t>
      </w:r>
    </w:p>
    <w:p w:rsidR="003C091C" w:rsidRDefault="003C091C" w:rsidP="003D2856">
      <w:pPr>
        <w:pStyle w:val="ListParagraph"/>
        <w:spacing w:after="0" w:line="240" w:lineRule="auto"/>
        <w:ind w:left="-360" w:right="-720"/>
        <w:rPr>
          <w:rFonts w:cs="Aharoni"/>
          <w:sz w:val="20"/>
          <w:szCs w:val="20"/>
        </w:rPr>
      </w:pPr>
      <w:r w:rsidRPr="003C091C">
        <w:rPr>
          <w:rFonts w:cs="Aharoni"/>
          <w:sz w:val="20"/>
          <w:szCs w:val="20"/>
        </w:rPr>
        <w:t>FSMC New Contract (Signed)</w:t>
      </w:r>
      <w:r w:rsidRPr="003C091C">
        <w:rPr>
          <w:rFonts w:cs="Aharoni"/>
          <w:sz w:val="20"/>
          <w:szCs w:val="20"/>
        </w:rPr>
        <w:tab/>
      </w:r>
      <w:r w:rsidRPr="003C091C">
        <w:rPr>
          <w:rFonts w:cs="Aharoni"/>
          <w:sz w:val="20"/>
          <w:szCs w:val="20"/>
        </w:rPr>
        <w:tab/>
        <w:t>June 30</w:t>
      </w:r>
    </w:p>
    <w:p w:rsidR="00D704F1" w:rsidRPr="003C091C" w:rsidRDefault="00D704F1" w:rsidP="00D704F1">
      <w:pPr>
        <w:spacing w:after="0" w:line="240" w:lineRule="auto"/>
        <w:ind w:left="-720" w:right="-720" w:firstLine="360"/>
        <w:rPr>
          <w:rFonts w:cs="Aharoni"/>
          <w:sz w:val="20"/>
          <w:szCs w:val="20"/>
        </w:rPr>
      </w:pPr>
      <w:r w:rsidRPr="003C091C">
        <w:rPr>
          <w:rFonts w:cs="Aharoni"/>
          <w:sz w:val="20"/>
          <w:szCs w:val="20"/>
        </w:rPr>
        <w:t>PLE Tools</w:t>
      </w:r>
      <w:r w:rsidRPr="003C091C">
        <w:rPr>
          <w:rFonts w:cs="Aharoni"/>
          <w:sz w:val="20"/>
          <w:szCs w:val="20"/>
        </w:rPr>
        <w:tab/>
      </w:r>
      <w:r w:rsidRPr="003C091C">
        <w:rPr>
          <w:rFonts w:cs="Aharoni"/>
          <w:sz w:val="20"/>
          <w:szCs w:val="20"/>
        </w:rPr>
        <w:tab/>
      </w:r>
      <w:r w:rsidRPr="003C091C">
        <w:rPr>
          <w:rFonts w:cs="Aharoni"/>
          <w:sz w:val="20"/>
          <w:szCs w:val="20"/>
        </w:rPr>
        <w:tab/>
      </w:r>
      <w:r w:rsidRPr="003C091C">
        <w:rPr>
          <w:rFonts w:cs="Aharoni"/>
          <w:sz w:val="20"/>
          <w:szCs w:val="20"/>
        </w:rPr>
        <w:tab/>
        <w:t>April 30</w:t>
      </w:r>
    </w:p>
    <w:p w:rsidR="00D704F1" w:rsidRPr="003C091C" w:rsidRDefault="00D704F1" w:rsidP="00D704F1">
      <w:pPr>
        <w:spacing w:after="0" w:line="240" w:lineRule="auto"/>
        <w:ind w:left="-720" w:right="-720" w:firstLine="360"/>
        <w:rPr>
          <w:rFonts w:cs="Aharoni"/>
          <w:sz w:val="20"/>
          <w:szCs w:val="20"/>
        </w:rPr>
      </w:pPr>
      <w:r w:rsidRPr="003C091C">
        <w:rPr>
          <w:rFonts w:cs="Aharoni"/>
          <w:sz w:val="20"/>
          <w:szCs w:val="20"/>
        </w:rPr>
        <w:t>Annual Financial Reports</w:t>
      </w:r>
      <w:r w:rsidRPr="003C091C">
        <w:rPr>
          <w:rFonts w:cs="Aharoni"/>
          <w:sz w:val="20"/>
          <w:szCs w:val="20"/>
        </w:rPr>
        <w:tab/>
      </w:r>
      <w:r w:rsidRPr="003C091C">
        <w:rPr>
          <w:rFonts w:cs="Aharoni"/>
          <w:sz w:val="20"/>
          <w:szCs w:val="20"/>
        </w:rPr>
        <w:tab/>
        <w:t>September 1</w:t>
      </w:r>
    </w:p>
    <w:p w:rsidR="00D704F1" w:rsidRPr="003C091C" w:rsidRDefault="00D704F1" w:rsidP="00D704F1">
      <w:pPr>
        <w:spacing w:after="0" w:line="240" w:lineRule="auto"/>
        <w:ind w:left="-720" w:right="-720" w:firstLine="360"/>
        <w:rPr>
          <w:rFonts w:cs="Aharoni"/>
          <w:sz w:val="20"/>
          <w:szCs w:val="20"/>
        </w:rPr>
      </w:pPr>
      <w:r w:rsidRPr="003C091C">
        <w:rPr>
          <w:rFonts w:cs="Aharoni"/>
          <w:sz w:val="20"/>
          <w:szCs w:val="20"/>
        </w:rPr>
        <w:t>Revenue Non-Program Food Tool*</w:t>
      </w:r>
      <w:r w:rsidRPr="003C091C">
        <w:rPr>
          <w:rFonts w:cs="Aharoni"/>
          <w:sz w:val="20"/>
          <w:szCs w:val="20"/>
        </w:rPr>
        <w:tab/>
        <w:t>September 1</w:t>
      </w:r>
    </w:p>
    <w:p w:rsidR="00D704F1" w:rsidRPr="003C091C" w:rsidRDefault="00D704F1" w:rsidP="00D704F1">
      <w:pPr>
        <w:spacing w:after="0" w:line="240" w:lineRule="auto"/>
        <w:ind w:left="-720" w:right="-720" w:firstLine="360"/>
        <w:rPr>
          <w:rFonts w:cs="Aharoni"/>
          <w:i/>
          <w:sz w:val="20"/>
          <w:szCs w:val="20"/>
        </w:rPr>
      </w:pPr>
      <w:r w:rsidRPr="003C091C">
        <w:rPr>
          <w:rFonts w:cs="Aharoni"/>
          <w:sz w:val="20"/>
          <w:szCs w:val="20"/>
        </w:rPr>
        <w:t xml:space="preserve"> * </w:t>
      </w:r>
      <w:r w:rsidRPr="003C091C">
        <w:rPr>
          <w:rFonts w:cs="Aharoni"/>
          <w:i/>
          <w:sz w:val="20"/>
          <w:szCs w:val="20"/>
        </w:rPr>
        <w:t>The RNPF Tool does not need to be submitted to</w:t>
      </w:r>
    </w:p>
    <w:p w:rsidR="00D704F1" w:rsidRPr="003C091C" w:rsidRDefault="00D704F1" w:rsidP="00D704F1">
      <w:pPr>
        <w:pStyle w:val="ListParagraph"/>
        <w:spacing w:after="0" w:line="240" w:lineRule="auto"/>
        <w:ind w:left="-360" w:right="-720"/>
        <w:rPr>
          <w:rFonts w:cs="Aharoni"/>
          <w:sz w:val="20"/>
          <w:szCs w:val="20"/>
        </w:rPr>
      </w:pPr>
      <w:r w:rsidRPr="003C091C">
        <w:rPr>
          <w:rFonts w:cs="Aharoni"/>
          <w:i/>
          <w:sz w:val="20"/>
          <w:szCs w:val="20"/>
        </w:rPr>
        <w:t xml:space="preserve"> IDOE. Retain for review or audit.</w:t>
      </w:r>
    </w:p>
    <w:p w:rsidR="00DA382D" w:rsidRDefault="005D5143" w:rsidP="00D37F9B">
      <w:pPr>
        <w:spacing w:after="0" w:line="240" w:lineRule="auto"/>
        <w:ind w:left="-720" w:right="-720"/>
        <w:rPr>
          <w:rFonts w:cs="Aharoni"/>
          <w:sz w:val="20"/>
          <w:szCs w:val="20"/>
        </w:rPr>
      </w:pPr>
      <w:r>
        <w:rPr>
          <w:rFonts w:cs="Aharoni"/>
          <w:sz w:val="20"/>
          <w:szCs w:val="20"/>
        </w:rPr>
        <w:tab/>
      </w:r>
      <w:r>
        <w:rPr>
          <w:rFonts w:cs="Aharoni"/>
          <w:sz w:val="20"/>
          <w:szCs w:val="20"/>
        </w:rPr>
        <w:tab/>
      </w:r>
    </w:p>
    <w:p w:rsidR="005312BB" w:rsidRPr="00CA7706" w:rsidRDefault="005312BB" w:rsidP="00D37F9B">
      <w:pPr>
        <w:spacing w:after="0" w:line="240" w:lineRule="auto"/>
        <w:ind w:left="-720" w:right="-720"/>
        <w:rPr>
          <w:rFonts w:cs="Aharoni"/>
          <w:sz w:val="20"/>
          <w:szCs w:val="20"/>
        </w:rPr>
      </w:pPr>
    </w:p>
    <w:p w:rsidR="005312BB" w:rsidRPr="00CA7706" w:rsidRDefault="005312BB" w:rsidP="00D37F9B">
      <w:pPr>
        <w:spacing w:after="0" w:line="240" w:lineRule="auto"/>
        <w:ind w:left="-720" w:right="-720"/>
        <w:rPr>
          <w:rFonts w:cs="Aharoni"/>
          <w:sz w:val="20"/>
          <w:szCs w:val="20"/>
        </w:rPr>
      </w:pPr>
    </w:p>
    <w:p w:rsidR="005312BB" w:rsidRPr="00CA7706" w:rsidRDefault="005312BB" w:rsidP="00D37F9B">
      <w:pPr>
        <w:spacing w:after="0" w:line="240" w:lineRule="auto"/>
        <w:ind w:left="-720" w:right="-720"/>
        <w:rPr>
          <w:rFonts w:cs="Aharoni"/>
          <w:sz w:val="20"/>
          <w:szCs w:val="20"/>
        </w:rPr>
        <w:sectPr w:rsidR="005312BB" w:rsidRPr="00CA7706" w:rsidSect="00D3252F">
          <w:headerReference w:type="default" r:id="rId9"/>
          <w:pgSz w:w="12240" w:h="15840"/>
          <w:pgMar w:top="1704" w:right="1440" w:bottom="1008" w:left="1440" w:header="576"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16AC0" w:rsidRPr="00CA7706" w:rsidRDefault="00B4433B" w:rsidP="00CA7706">
      <w:pPr>
        <w:spacing w:after="0" w:line="240" w:lineRule="auto"/>
        <w:ind w:left="-720" w:firstLine="720"/>
        <w:jc w:val="center"/>
        <w:rPr>
          <w:rFonts w:cs="Aharoni"/>
          <w:b/>
          <w:sz w:val="20"/>
          <w:szCs w:val="20"/>
        </w:rPr>
      </w:pPr>
      <w:r w:rsidRPr="00CA7706">
        <w:rPr>
          <w:rFonts w:cs="Aharoni"/>
          <w:b/>
          <w:sz w:val="20"/>
          <w:szCs w:val="20"/>
        </w:rPr>
        <w:lastRenderedPageBreak/>
        <w:t xml:space="preserve">IDOE Child Nutrition Finance </w:t>
      </w:r>
      <w:r w:rsidR="00EE6238" w:rsidRPr="00CA7706">
        <w:rPr>
          <w:rFonts w:cs="Aharoni"/>
          <w:b/>
          <w:sz w:val="20"/>
          <w:szCs w:val="20"/>
        </w:rPr>
        <w:t>Team Contact I</w:t>
      </w:r>
      <w:r w:rsidRPr="00CA7706">
        <w:rPr>
          <w:rFonts w:cs="Aharoni"/>
          <w:b/>
          <w:sz w:val="20"/>
          <w:szCs w:val="20"/>
        </w:rPr>
        <w:t>nformati</w:t>
      </w:r>
      <w:r w:rsidR="005312BB" w:rsidRPr="00CA7706">
        <w:rPr>
          <w:rFonts w:cs="Aharoni"/>
          <w:b/>
          <w:sz w:val="20"/>
          <w:szCs w:val="20"/>
        </w:rPr>
        <w:t>on</w:t>
      </w:r>
    </w:p>
    <w:p w:rsidR="00B4433B" w:rsidRPr="005312BB" w:rsidRDefault="00B4433B" w:rsidP="005312BB">
      <w:pPr>
        <w:spacing w:after="0" w:line="240" w:lineRule="auto"/>
        <w:ind w:left="-720" w:right="-720"/>
        <w:jc w:val="center"/>
        <w:rPr>
          <w:rFonts w:cs="Aharoni"/>
          <w:b/>
          <w:sz w:val="18"/>
          <w:szCs w:val="18"/>
        </w:rPr>
      </w:pPr>
    </w:p>
    <w:p w:rsidR="00ED5F8F" w:rsidRPr="00CA7706" w:rsidRDefault="00ED5F8F" w:rsidP="00333714">
      <w:pPr>
        <w:spacing w:after="0" w:line="240" w:lineRule="auto"/>
        <w:ind w:right="-720"/>
        <w:rPr>
          <w:rFonts w:cs="Aharoni"/>
          <w:sz w:val="20"/>
          <w:szCs w:val="20"/>
        </w:rPr>
      </w:pPr>
      <w:r w:rsidRPr="00CA7706">
        <w:rPr>
          <w:rFonts w:cs="Aharoni"/>
          <w:sz w:val="20"/>
          <w:szCs w:val="20"/>
        </w:rPr>
        <w:t>Cindy Harris</w:t>
      </w:r>
      <w:r w:rsidRPr="00CA7706">
        <w:rPr>
          <w:rFonts w:cs="Aharoni"/>
          <w:sz w:val="20"/>
          <w:szCs w:val="20"/>
        </w:rPr>
        <w:tab/>
      </w:r>
      <w:hyperlink r:id="rId10" w:history="1">
        <w:r w:rsidRPr="00CA7706">
          <w:rPr>
            <w:rStyle w:val="Hyperlink"/>
            <w:rFonts w:cs="Aharoni"/>
            <w:sz w:val="20"/>
            <w:szCs w:val="20"/>
          </w:rPr>
          <w:t>charris@doe.in.gov</w:t>
        </w:r>
      </w:hyperlink>
      <w:r w:rsidRPr="00CA7706">
        <w:rPr>
          <w:rFonts w:cs="Aharoni"/>
          <w:sz w:val="20"/>
          <w:szCs w:val="20"/>
        </w:rPr>
        <w:t xml:space="preserve"> </w:t>
      </w:r>
      <w:r w:rsidRPr="00CA7706">
        <w:rPr>
          <w:rFonts w:cs="Aharoni"/>
          <w:sz w:val="20"/>
          <w:szCs w:val="20"/>
        </w:rPr>
        <w:tab/>
        <w:t>(317) 232-9143</w:t>
      </w:r>
    </w:p>
    <w:p w:rsidR="005312BB" w:rsidRDefault="005312BB" w:rsidP="005312BB">
      <w:pPr>
        <w:spacing w:after="0" w:line="240" w:lineRule="auto"/>
        <w:ind w:left="-720" w:right="-720"/>
        <w:jc w:val="center"/>
        <w:rPr>
          <w:rFonts w:cs="Aharoni"/>
          <w:sz w:val="20"/>
          <w:szCs w:val="20"/>
        </w:rPr>
      </w:pPr>
      <w:r w:rsidRPr="00CA7706">
        <w:rPr>
          <w:rFonts w:cs="Aharoni"/>
          <w:sz w:val="20"/>
          <w:szCs w:val="20"/>
        </w:rPr>
        <w:t>Tina Herzog</w:t>
      </w:r>
      <w:r w:rsidRPr="00CA7706">
        <w:rPr>
          <w:rFonts w:cs="Aharoni"/>
          <w:sz w:val="20"/>
          <w:szCs w:val="20"/>
        </w:rPr>
        <w:tab/>
      </w:r>
      <w:hyperlink r:id="rId11" w:history="1">
        <w:r w:rsidRPr="00CA7706">
          <w:rPr>
            <w:rStyle w:val="Hyperlink"/>
            <w:rFonts w:cs="Aharoni"/>
            <w:sz w:val="20"/>
            <w:szCs w:val="20"/>
          </w:rPr>
          <w:t>cherzog@doe.in.gov</w:t>
        </w:r>
      </w:hyperlink>
      <w:r w:rsidRPr="00CA7706">
        <w:rPr>
          <w:rFonts w:cs="Aharoni"/>
          <w:sz w:val="20"/>
          <w:szCs w:val="20"/>
        </w:rPr>
        <w:tab/>
        <w:t>(317) 232-0872</w:t>
      </w:r>
    </w:p>
    <w:p w:rsidR="00DC525B" w:rsidRPr="00CA7706" w:rsidRDefault="00DC525B" w:rsidP="00DC525B">
      <w:pPr>
        <w:spacing w:after="0" w:line="240" w:lineRule="auto"/>
        <w:ind w:right="-720"/>
        <w:rPr>
          <w:rFonts w:cs="Aharoni"/>
          <w:sz w:val="20"/>
          <w:szCs w:val="20"/>
        </w:rPr>
      </w:pPr>
      <w:r>
        <w:rPr>
          <w:rFonts w:cs="Aharoni"/>
          <w:sz w:val="20"/>
          <w:szCs w:val="20"/>
        </w:rPr>
        <w:t>Joe Olivadoti</w:t>
      </w:r>
      <w:r>
        <w:rPr>
          <w:rFonts w:cs="Aharoni"/>
          <w:sz w:val="20"/>
          <w:szCs w:val="20"/>
        </w:rPr>
        <w:tab/>
      </w:r>
      <w:r w:rsidRPr="00DC525B">
        <w:rPr>
          <w:rFonts w:cs="Aharoni"/>
          <w:color w:val="0070C0"/>
          <w:sz w:val="20"/>
          <w:szCs w:val="20"/>
          <w:u w:val="single"/>
        </w:rPr>
        <w:t>jolivadoti1doe.in.gov</w:t>
      </w:r>
      <w:r>
        <w:rPr>
          <w:rFonts w:cs="Aharoni"/>
          <w:sz w:val="20"/>
          <w:szCs w:val="20"/>
        </w:rPr>
        <w:tab/>
        <w:t>(317) 234-4378</w:t>
      </w:r>
    </w:p>
    <w:p w:rsidR="009468DB" w:rsidRDefault="009468DB" w:rsidP="005312BB">
      <w:pPr>
        <w:spacing w:after="0" w:line="240" w:lineRule="auto"/>
        <w:ind w:left="-720" w:right="-720"/>
        <w:jc w:val="center"/>
        <w:rPr>
          <w:rFonts w:cs="Aharoni"/>
          <w:sz w:val="18"/>
          <w:szCs w:val="18"/>
        </w:rPr>
      </w:pPr>
    </w:p>
    <w:p w:rsidR="009468DB" w:rsidRDefault="009468DB" w:rsidP="005312BB">
      <w:pPr>
        <w:spacing w:after="0" w:line="240" w:lineRule="auto"/>
        <w:ind w:left="-720" w:right="-720"/>
        <w:jc w:val="center"/>
        <w:rPr>
          <w:rFonts w:cs="Aharoni"/>
          <w:sz w:val="18"/>
          <w:szCs w:val="18"/>
        </w:rPr>
      </w:pPr>
    </w:p>
    <w:p w:rsidR="009468DB" w:rsidRDefault="009468DB" w:rsidP="005312BB">
      <w:pPr>
        <w:spacing w:after="0" w:line="240" w:lineRule="auto"/>
        <w:ind w:left="-720" w:right="-720"/>
        <w:jc w:val="center"/>
        <w:rPr>
          <w:rFonts w:cs="Aharoni"/>
          <w:sz w:val="18"/>
          <w:szCs w:val="18"/>
        </w:rPr>
      </w:pPr>
    </w:p>
    <w:p w:rsidR="009753E8" w:rsidRDefault="009753E8" w:rsidP="009468DB">
      <w:pPr>
        <w:spacing w:after="0" w:line="240" w:lineRule="auto"/>
        <w:ind w:left="2160" w:right="-720" w:firstLine="720"/>
        <w:jc w:val="center"/>
        <w:rPr>
          <w:rFonts w:cs="Aharoni"/>
          <w:sz w:val="16"/>
          <w:szCs w:val="16"/>
        </w:rPr>
      </w:pPr>
    </w:p>
    <w:p w:rsidR="009753E8" w:rsidRDefault="009753E8" w:rsidP="009468DB">
      <w:pPr>
        <w:spacing w:after="0" w:line="240" w:lineRule="auto"/>
        <w:ind w:left="2160" w:right="-720" w:firstLine="720"/>
        <w:jc w:val="center"/>
        <w:rPr>
          <w:rFonts w:cs="Aharoni"/>
          <w:sz w:val="16"/>
          <w:szCs w:val="16"/>
        </w:rPr>
      </w:pPr>
    </w:p>
    <w:p w:rsidR="009753E8" w:rsidRDefault="009753E8" w:rsidP="009468DB">
      <w:pPr>
        <w:spacing w:after="0" w:line="240" w:lineRule="auto"/>
        <w:ind w:left="2160" w:right="-720" w:firstLine="720"/>
        <w:jc w:val="center"/>
        <w:rPr>
          <w:rFonts w:cs="Aharoni"/>
          <w:sz w:val="16"/>
          <w:szCs w:val="16"/>
        </w:rPr>
      </w:pPr>
    </w:p>
    <w:p w:rsidR="009753E8" w:rsidRDefault="009753E8" w:rsidP="009468DB">
      <w:pPr>
        <w:spacing w:after="0" w:line="240" w:lineRule="auto"/>
        <w:ind w:left="2160" w:right="-720" w:firstLine="720"/>
        <w:jc w:val="center"/>
        <w:rPr>
          <w:rFonts w:cs="Aharoni"/>
          <w:sz w:val="16"/>
          <w:szCs w:val="16"/>
        </w:rPr>
      </w:pPr>
    </w:p>
    <w:p w:rsidR="009753E8" w:rsidRDefault="009753E8" w:rsidP="009468DB">
      <w:pPr>
        <w:spacing w:after="0" w:line="240" w:lineRule="auto"/>
        <w:ind w:left="2160" w:right="-720" w:firstLine="720"/>
        <w:jc w:val="center"/>
        <w:rPr>
          <w:rFonts w:cs="Aharoni"/>
          <w:sz w:val="16"/>
          <w:szCs w:val="16"/>
        </w:rPr>
      </w:pPr>
    </w:p>
    <w:p w:rsidR="009753E8" w:rsidRDefault="009753E8" w:rsidP="009468DB">
      <w:pPr>
        <w:spacing w:after="0" w:line="240" w:lineRule="auto"/>
        <w:ind w:left="2160" w:right="-720" w:firstLine="720"/>
        <w:jc w:val="center"/>
        <w:rPr>
          <w:rFonts w:cs="Aharoni"/>
          <w:sz w:val="16"/>
          <w:szCs w:val="16"/>
        </w:rPr>
      </w:pPr>
    </w:p>
    <w:p w:rsidR="009468DB" w:rsidRPr="009468DB" w:rsidRDefault="00EF5D7E" w:rsidP="009468DB">
      <w:pPr>
        <w:spacing w:after="0" w:line="240" w:lineRule="auto"/>
        <w:ind w:left="2160" w:right="-720" w:firstLine="720"/>
        <w:jc w:val="center"/>
        <w:rPr>
          <w:rFonts w:cs="Aharoni"/>
          <w:sz w:val="16"/>
          <w:szCs w:val="16"/>
        </w:rPr>
      </w:pPr>
      <w:r>
        <w:rPr>
          <w:rFonts w:cs="Aharoni"/>
          <w:sz w:val="16"/>
          <w:szCs w:val="16"/>
        </w:rPr>
        <w:t>Updated August</w:t>
      </w:r>
      <w:r w:rsidR="00333714">
        <w:rPr>
          <w:rFonts w:cs="Aharoni"/>
          <w:sz w:val="16"/>
          <w:szCs w:val="16"/>
        </w:rPr>
        <w:t xml:space="preserve"> 2018</w:t>
      </w:r>
    </w:p>
    <w:sectPr w:rsidR="009468DB" w:rsidRPr="009468DB" w:rsidSect="00CA7706">
      <w:type w:val="continuous"/>
      <w:pgSz w:w="12240" w:h="15840"/>
      <w:pgMar w:top="1008" w:right="1440" w:bottom="1008" w:left="720" w:header="720" w:footer="720" w:gutter="0"/>
      <w:pgBorders w:offsetFrom="page">
        <w:top w:val="single" w:sz="4" w:space="24" w:color="auto"/>
        <w:left w:val="single" w:sz="4" w:space="24" w:color="auto"/>
        <w:bottom w:val="single" w:sz="4" w:space="24" w:color="auto"/>
        <w:right w:val="single" w:sz="4" w:space="24" w:color="auto"/>
      </w:pgBorders>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23" w:rsidRDefault="00594D23" w:rsidP="001F54AC">
      <w:pPr>
        <w:spacing w:after="0" w:line="240" w:lineRule="auto"/>
      </w:pPr>
      <w:r>
        <w:separator/>
      </w:r>
    </w:p>
  </w:endnote>
  <w:endnote w:type="continuationSeparator" w:id="0">
    <w:p w:rsidR="00594D23" w:rsidRDefault="00594D23" w:rsidP="001F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23" w:rsidRDefault="00594D23" w:rsidP="001F54AC">
      <w:pPr>
        <w:spacing w:after="0" w:line="240" w:lineRule="auto"/>
      </w:pPr>
      <w:r>
        <w:separator/>
      </w:r>
    </w:p>
  </w:footnote>
  <w:footnote w:type="continuationSeparator" w:id="0">
    <w:p w:rsidR="00594D23" w:rsidRDefault="00594D23" w:rsidP="001F5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06" w:rsidRDefault="00CA7706" w:rsidP="00D3252F">
    <w:pPr>
      <w:pStyle w:val="Header"/>
      <w:ind w:left="-990"/>
    </w:pPr>
    <w:r>
      <w:rPr>
        <w:rFonts w:ascii="Helvetica" w:hAnsi="Helvetica" w:cs="Helvetica"/>
        <w:noProof/>
        <w:color w:val="2A68AF"/>
        <w:sz w:val="23"/>
        <w:szCs w:val="23"/>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10795</wp:posOffset>
          </wp:positionV>
          <wp:extent cx="1798320" cy="460550"/>
          <wp:effectExtent l="0" t="0" r="0" b="0"/>
          <wp:wrapSquare wrapText="bothSides"/>
          <wp:docPr id="3" name="Picture 3"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a:hlinkClick r:id="rId1" tooltip="&quot;Home&quot;"/>
                  </pic:cNvPr>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460550"/>
                  </a:xfrm>
                  <a:prstGeom prst="rect">
                    <a:avLst/>
                  </a:prstGeom>
                  <a:noFill/>
                  <a:ln>
                    <a:noFill/>
                  </a:ln>
                </pic:spPr>
              </pic:pic>
            </a:graphicData>
          </a:graphic>
        </wp:anchor>
      </w:drawing>
    </w:r>
  </w:p>
  <w:p w:rsidR="00405FB6" w:rsidRPr="00D3252F" w:rsidRDefault="00D3252F" w:rsidP="00D3252F">
    <w:pPr>
      <w:pStyle w:val="Header"/>
      <w:ind w:left="-990"/>
    </w:pPr>
    <w:r>
      <w:tab/>
    </w:r>
    <w:r w:rsidR="00405FB6" w:rsidRPr="00D3252F">
      <w:rPr>
        <w:rFonts w:ascii="Helvetica" w:hAnsi="Helvetica" w:cs="Helvetica"/>
        <w:b/>
        <w:bCs/>
        <w:i/>
        <w:caps/>
        <w:color w:val="1F4E79" w:themeColor="accent1" w:themeShade="80"/>
        <w:sz w:val="24"/>
        <w:szCs w:val="24"/>
        <w:lang/>
      </w:rPr>
      <w:t>School and Community Nutrition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148"/>
    <w:multiLevelType w:val="hybridMultilevel"/>
    <w:tmpl w:val="07C46324"/>
    <w:lvl w:ilvl="0" w:tplc="CECC0F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669A6645"/>
    <w:multiLevelType w:val="hybridMultilevel"/>
    <w:tmpl w:val="311EB478"/>
    <w:lvl w:ilvl="0" w:tplc="ED8CB6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06C46"/>
    <w:rsid w:val="00005338"/>
    <w:rsid w:val="00057C99"/>
    <w:rsid w:val="00096080"/>
    <w:rsid w:val="000B0135"/>
    <w:rsid w:val="000D6490"/>
    <w:rsid w:val="001B3C8B"/>
    <w:rsid w:val="001F4910"/>
    <w:rsid w:val="001F54AC"/>
    <w:rsid w:val="00202843"/>
    <w:rsid w:val="00273845"/>
    <w:rsid w:val="002A2247"/>
    <w:rsid w:val="002C4463"/>
    <w:rsid w:val="002F11B1"/>
    <w:rsid w:val="00321068"/>
    <w:rsid w:val="00333714"/>
    <w:rsid w:val="00360E5B"/>
    <w:rsid w:val="003C091C"/>
    <w:rsid w:val="003D2856"/>
    <w:rsid w:val="00405FB6"/>
    <w:rsid w:val="004339D0"/>
    <w:rsid w:val="00483090"/>
    <w:rsid w:val="004E5333"/>
    <w:rsid w:val="005312BB"/>
    <w:rsid w:val="0054342F"/>
    <w:rsid w:val="00594D23"/>
    <w:rsid w:val="005B0C83"/>
    <w:rsid w:val="005D5143"/>
    <w:rsid w:val="005D6543"/>
    <w:rsid w:val="006102F8"/>
    <w:rsid w:val="00681FEA"/>
    <w:rsid w:val="006A24C6"/>
    <w:rsid w:val="00713AD2"/>
    <w:rsid w:val="007323CC"/>
    <w:rsid w:val="00806C46"/>
    <w:rsid w:val="008357DC"/>
    <w:rsid w:val="008D78F3"/>
    <w:rsid w:val="008F33B9"/>
    <w:rsid w:val="009008DC"/>
    <w:rsid w:val="00913189"/>
    <w:rsid w:val="009468DB"/>
    <w:rsid w:val="009753E8"/>
    <w:rsid w:val="00977CF4"/>
    <w:rsid w:val="00981A21"/>
    <w:rsid w:val="00A20FFD"/>
    <w:rsid w:val="00A73EAB"/>
    <w:rsid w:val="00AB5535"/>
    <w:rsid w:val="00B4433B"/>
    <w:rsid w:val="00BA09B1"/>
    <w:rsid w:val="00BB3317"/>
    <w:rsid w:val="00C41843"/>
    <w:rsid w:val="00C46BD2"/>
    <w:rsid w:val="00C86796"/>
    <w:rsid w:val="00CA7706"/>
    <w:rsid w:val="00CC1DD7"/>
    <w:rsid w:val="00D3252F"/>
    <w:rsid w:val="00D37F9B"/>
    <w:rsid w:val="00D704F1"/>
    <w:rsid w:val="00DA382D"/>
    <w:rsid w:val="00DC525B"/>
    <w:rsid w:val="00DD1EC5"/>
    <w:rsid w:val="00DE32B2"/>
    <w:rsid w:val="00EB699D"/>
    <w:rsid w:val="00ED5F8F"/>
    <w:rsid w:val="00EE6238"/>
    <w:rsid w:val="00EF5D7E"/>
    <w:rsid w:val="00F13446"/>
    <w:rsid w:val="00F16AC0"/>
    <w:rsid w:val="00FA28FA"/>
    <w:rsid w:val="00FB4187"/>
    <w:rsid w:val="00FC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35"/>
    <w:pPr>
      <w:ind w:left="720"/>
      <w:contextualSpacing/>
    </w:pPr>
  </w:style>
  <w:style w:type="character" w:styleId="Hyperlink">
    <w:name w:val="Hyperlink"/>
    <w:basedOn w:val="DefaultParagraphFont"/>
    <w:uiPriority w:val="99"/>
    <w:unhideWhenUsed/>
    <w:rsid w:val="00AB5535"/>
    <w:rPr>
      <w:color w:val="0563C1" w:themeColor="hyperlink"/>
      <w:u w:val="single"/>
    </w:rPr>
  </w:style>
  <w:style w:type="paragraph" w:styleId="BalloonText">
    <w:name w:val="Balloon Text"/>
    <w:basedOn w:val="Normal"/>
    <w:link w:val="BalloonTextChar"/>
    <w:uiPriority w:val="99"/>
    <w:semiHidden/>
    <w:unhideWhenUsed/>
    <w:rsid w:val="00DD1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C5"/>
    <w:rPr>
      <w:rFonts w:ascii="Segoe UI" w:hAnsi="Segoe UI" w:cs="Segoe UI"/>
      <w:sz w:val="18"/>
      <w:szCs w:val="18"/>
    </w:rPr>
  </w:style>
  <w:style w:type="paragraph" w:styleId="Header">
    <w:name w:val="header"/>
    <w:basedOn w:val="Normal"/>
    <w:link w:val="HeaderChar"/>
    <w:uiPriority w:val="99"/>
    <w:unhideWhenUsed/>
    <w:rsid w:val="001F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AC"/>
  </w:style>
  <w:style w:type="paragraph" w:styleId="Footer">
    <w:name w:val="footer"/>
    <w:basedOn w:val="Normal"/>
    <w:link w:val="FooterChar"/>
    <w:uiPriority w:val="99"/>
    <w:unhideWhenUsed/>
    <w:rsid w:val="001F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zog@doe.in.gov" TargetMode="External"/><Relationship Id="rId5" Type="http://schemas.openxmlformats.org/officeDocument/2006/relationships/webSettings" Target="webSettings.xml"/><Relationship Id="rId10" Type="http://schemas.openxmlformats.org/officeDocument/2006/relationships/hyperlink" Target="mailto:charris@doe.in.gov"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2AE6-8F46-4676-90AD-673D0978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Cynthia M</dc:creator>
  <cp:lastModifiedBy>Shannon Walls</cp:lastModifiedBy>
  <cp:revision>2</cp:revision>
  <dcterms:created xsi:type="dcterms:W3CDTF">2018-09-17T11:55:00Z</dcterms:created>
  <dcterms:modified xsi:type="dcterms:W3CDTF">2018-09-17T11:55:00Z</dcterms:modified>
</cp:coreProperties>
</file>